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98597">
      <w:pPr>
        <w:keepNext w:val="0"/>
        <w:keepLines w:val="0"/>
        <w:pageBreakBefore w:val="0"/>
        <w:widowControl w:val="0"/>
        <w:kinsoku/>
        <w:wordWrap/>
        <w:overflowPunct/>
        <w:topLinePunct w:val="0"/>
        <w:autoSpaceDE/>
        <w:autoSpaceDN/>
        <w:bidi w:val="0"/>
        <w:adjustRightInd/>
        <w:snapToGrid w:val="0"/>
        <w:spacing w:line="200" w:lineRule="atLeast"/>
        <w:jc w:val="both"/>
        <w:textAlignment w:val="auto"/>
        <w:outlineLvl w:val="9"/>
        <w:rPr>
          <w:rFonts w:hint="eastAsia" w:ascii="Times New Roman" w:hAnsi="Times New Roman" w:eastAsia="黑体" w:cs="Times New Roman"/>
          <w:sz w:val="32"/>
          <w:szCs w:val="32"/>
          <w:lang w:val="en-US" w:eastAsia="zh-CN"/>
        </w:rPr>
      </w:pPr>
      <w:bookmarkStart w:id="0" w:name="_GoBack"/>
      <w:bookmarkEnd w:id="0"/>
      <w:r>
        <w:rPr>
          <w:rFonts w:hint="eastAsia" w:ascii="Times New Roman" w:hAnsi="Times New Roman" w:eastAsia="黑体" w:cs="Times New Roman"/>
          <w:sz w:val="32"/>
          <w:szCs w:val="32"/>
          <w:lang w:val="en-US" w:eastAsia="zh-CN"/>
        </w:rPr>
        <w:t>附件</w:t>
      </w:r>
      <w:r>
        <w:rPr>
          <w:rFonts w:hint="eastAsia" w:ascii="仿宋" w:hAnsi="仿宋" w:eastAsia="仿宋" w:cs="仿宋"/>
          <w:sz w:val="32"/>
          <w:szCs w:val="32"/>
          <w:lang w:val="en-US" w:eastAsia="zh-CN"/>
        </w:rPr>
        <w:t>1</w:t>
      </w:r>
    </w:p>
    <w:p w14:paraId="0992E1EC">
      <w:pPr>
        <w:keepNext w:val="0"/>
        <w:keepLines w:val="0"/>
        <w:pageBreakBefore w:val="0"/>
        <w:widowControl w:val="0"/>
        <w:kinsoku/>
        <w:wordWrap/>
        <w:overflowPunct w:val="0"/>
        <w:topLinePunct w:val="0"/>
        <w:autoSpaceDE/>
        <w:autoSpaceDN/>
        <w:bidi w:val="0"/>
        <w:adjustRightInd/>
        <w:snapToGrid w:val="0"/>
        <w:spacing w:before="581" w:beforeLines="100" w:after="581" w:afterLines="100" w:line="600" w:lineRule="exact"/>
        <w:jc w:val="center"/>
        <w:textAlignment w:val="auto"/>
        <w:rPr>
          <w:rFonts w:hint="eastAsia" w:ascii="方正小标宋_GBK" w:hAnsi="方正小标宋_GBK" w:eastAsia="方正小标宋_GBK" w:cs="方正小标宋_GBK"/>
          <w:kern w:val="21"/>
          <w:sz w:val="44"/>
          <w:szCs w:val="44"/>
        </w:rPr>
      </w:pPr>
      <w:r>
        <w:rPr>
          <w:rFonts w:hint="eastAsia" w:ascii="仿宋" w:hAnsi="仿宋" w:eastAsia="仿宋" w:cs="仿宋"/>
          <w:kern w:val="21"/>
          <w:sz w:val="44"/>
          <w:szCs w:val="44"/>
        </w:rPr>
        <w:t>2026</w:t>
      </w:r>
      <w:r>
        <w:rPr>
          <w:rFonts w:hint="eastAsia" w:ascii="方正小标宋_GBK" w:hAnsi="方正小标宋_GBK" w:eastAsia="方正小标宋_GBK" w:cs="方正小标宋_GBK"/>
          <w:kern w:val="21"/>
          <w:sz w:val="44"/>
          <w:szCs w:val="44"/>
        </w:rPr>
        <w:t>年全省兽药质量安全监督抽查计划</w:t>
      </w:r>
    </w:p>
    <w:p w14:paraId="043D3843">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黑体" w:hAnsi="黑体" w:eastAsia="黑体" w:cs="黑体"/>
          <w:b w:val="0"/>
          <w:bCs w:val="0"/>
          <w:color w:val="auto"/>
          <w:kern w:val="21"/>
          <w:sz w:val="32"/>
          <w:szCs w:val="32"/>
        </w:rPr>
      </w:pPr>
      <w:r>
        <w:rPr>
          <w:rFonts w:hint="eastAsia" w:ascii="黑体" w:hAnsi="黑体" w:eastAsia="黑体" w:cs="黑体"/>
          <w:b w:val="0"/>
          <w:bCs w:val="0"/>
          <w:color w:val="auto"/>
          <w:kern w:val="21"/>
          <w:sz w:val="32"/>
          <w:szCs w:val="32"/>
        </w:rPr>
        <w:t>一、指导原则</w:t>
      </w:r>
    </w:p>
    <w:p w14:paraId="43F55EDA">
      <w:pPr>
        <w:keepNext w:val="0"/>
        <w:keepLines w:val="0"/>
        <w:pageBreakBefore w:val="0"/>
        <w:widowControl w:val="0"/>
        <w:kinsoku/>
        <w:wordWrap/>
        <w:topLinePunct w:val="0"/>
        <w:autoSpaceDE/>
        <w:autoSpaceDN/>
        <w:bidi w:val="0"/>
        <w:adjustRightInd/>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坚持问题导向和目标导向，按照“双随机一公开”有关要求，围绕兽药生产、经营、使用环节，实行监督检查与监督抽检相结合，加大对近年来抽检批次较少和抽检不合格批次较多企业的抽检力度，增加高风险品种的抽检和监测数量、频次。对招标采购时明显低于成</w:t>
      </w:r>
      <w:r>
        <w:rPr>
          <w:rFonts w:ascii="仿宋" w:hAnsi="仿宋" w:eastAsia="仿宋" w:cs="仿宋"/>
          <w:b w:val="0"/>
          <w:bCs w:val="0"/>
          <w:color w:val="auto"/>
          <w:kern w:val="21"/>
          <w:sz w:val="32"/>
          <w:szCs w:val="32"/>
        </w:rPr>
        <w:t>本价格中标的兽用生物制品</w:t>
      </w:r>
      <w:r>
        <w:rPr>
          <w:rFonts w:hint="eastAsia" w:ascii="仿宋" w:hAnsi="仿宋" w:eastAsia="仿宋" w:cs="仿宋"/>
          <w:b w:val="0"/>
          <w:bCs w:val="0"/>
          <w:color w:val="auto"/>
          <w:kern w:val="21"/>
          <w:sz w:val="32"/>
          <w:szCs w:val="32"/>
          <w:lang w:eastAsia="zh-CN"/>
        </w:rPr>
        <w:t>及其</w:t>
      </w:r>
      <w:r>
        <w:rPr>
          <w:rFonts w:ascii="仿宋" w:hAnsi="仿宋" w:eastAsia="仿宋" w:cs="仿宋"/>
          <w:b w:val="0"/>
          <w:bCs w:val="0"/>
          <w:color w:val="auto"/>
          <w:kern w:val="21"/>
          <w:sz w:val="32"/>
          <w:szCs w:val="32"/>
        </w:rPr>
        <w:t>生产企业、同时生产兽用中药和天然植物饲料产品企业，加大抽检力度。对兽药经营企业开展监督抽检，</w:t>
      </w:r>
      <w:r>
        <w:rPr>
          <w:rFonts w:hint="eastAsia" w:ascii="仿宋" w:hAnsi="仿宋" w:eastAsia="仿宋" w:cs="仿宋"/>
          <w:b w:val="0"/>
          <w:bCs w:val="0"/>
          <w:color w:val="auto"/>
          <w:kern w:val="21"/>
          <w:sz w:val="32"/>
          <w:szCs w:val="32"/>
          <w:lang w:eastAsia="zh-CN"/>
        </w:rPr>
        <w:t>按农业农村部要求，</w:t>
      </w:r>
      <w:r>
        <w:rPr>
          <w:rFonts w:ascii="仿宋" w:hAnsi="仿宋" w:eastAsia="仿宋" w:cs="仿宋"/>
          <w:b w:val="0"/>
          <w:bCs w:val="0"/>
          <w:color w:val="auto"/>
          <w:kern w:val="21"/>
          <w:sz w:val="32"/>
          <w:szCs w:val="32"/>
        </w:rPr>
        <w:t>全部抽取</w:t>
      </w:r>
      <w:r>
        <w:rPr>
          <w:rFonts w:hint="eastAsia" w:ascii="仿宋" w:hAnsi="仿宋" w:eastAsia="仿宋" w:cs="仿宋"/>
          <w:b w:val="0"/>
          <w:bCs w:val="0"/>
          <w:color w:val="auto"/>
          <w:kern w:val="21"/>
          <w:sz w:val="32"/>
          <w:szCs w:val="32"/>
          <w:lang w:eastAsia="zh-CN"/>
        </w:rPr>
        <w:t>省外</w:t>
      </w:r>
      <w:r>
        <w:rPr>
          <w:rFonts w:ascii="仿宋" w:hAnsi="仿宋" w:eastAsia="仿宋" w:cs="仿宋"/>
          <w:b w:val="0"/>
          <w:bCs w:val="0"/>
          <w:color w:val="auto"/>
          <w:kern w:val="21"/>
          <w:sz w:val="32"/>
          <w:szCs w:val="32"/>
        </w:rPr>
        <w:t>生产企业生产的产品。</w:t>
      </w:r>
    </w:p>
    <w:p w14:paraId="12686C3C">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黑体" w:hAnsi="黑体" w:eastAsia="黑体" w:cs="黑体"/>
          <w:b w:val="0"/>
          <w:bCs w:val="0"/>
          <w:color w:val="auto"/>
          <w:kern w:val="21"/>
          <w:sz w:val="32"/>
          <w:szCs w:val="32"/>
        </w:rPr>
      </w:pPr>
      <w:r>
        <w:rPr>
          <w:rFonts w:hint="eastAsia" w:ascii="黑体" w:hAnsi="黑体" w:eastAsia="黑体" w:cs="黑体"/>
          <w:b w:val="0"/>
          <w:bCs w:val="0"/>
          <w:color w:val="auto"/>
          <w:kern w:val="21"/>
          <w:sz w:val="32"/>
          <w:szCs w:val="32"/>
        </w:rPr>
        <w:t>二、工作任务</w:t>
      </w:r>
    </w:p>
    <w:p w14:paraId="5E62487D">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楷体" w:hAnsi="楷体" w:eastAsia="楷体" w:cs="楷体"/>
          <w:b w:val="0"/>
          <w:bCs w:val="0"/>
          <w:color w:val="auto"/>
          <w:kern w:val="21"/>
          <w:sz w:val="32"/>
          <w:szCs w:val="32"/>
        </w:rPr>
        <w:t>（一）监督检查。</w:t>
      </w:r>
      <w:r>
        <w:rPr>
          <w:rFonts w:hint="eastAsia" w:ascii="仿宋" w:hAnsi="仿宋" w:eastAsia="仿宋" w:cs="仿宋"/>
          <w:b w:val="0"/>
          <w:bCs w:val="0"/>
          <w:color w:val="auto"/>
          <w:kern w:val="21"/>
          <w:sz w:val="32"/>
          <w:szCs w:val="32"/>
        </w:rPr>
        <w:t>各级农业农村部门要按照“双随机一公开”的要求对辖区内兽药生产企业、经营企业和使用单位开展现场监督检查，并确保辖区内兽药生产企业每年全覆盖检查一次，兽药经营企业检查数量不低于辖区总数的30%，兽药使用单位检查数量不少于辖区总数的10%；厅饲料兽药处适时组织随机抽查。重点检查近两年被部、省通报有不合格产品的、有信访投诉的以及有其他违法行为的企业或单位，检查兽药生产、经营</w:t>
      </w:r>
      <w:r>
        <w:rPr>
          <w:rFonts w:hint="eastAsia" w:ascii="仿宋" w:hAnsi="仿宋" w:eastAsia="仿宋" w:cs="仿宋"/>
          <w:b w:val="0"/>
          <w:bCs w:val="0"/>
          <w:color w:val="auto"/>
          <w:kern w:val="21"/>
          <w:sz w:val="32"/>
          <w:szCs w:val="32"/>
          <w:lang w:val="en-US" w:eastAsia="zh-CN"/>
        </w:rPr>
        <w:t>和</w:t>
      </w:r>
      <w:r>
        <w:rPr>
          <w:rFonts w:hint="eastAsia" w:ascii="仿宋" w:hAnsi="仿宋" w:eastAsia="仿宋" w:cs="仿宋"/>
          <w:b w:val="0"/>
          <w:bCs w:val="0"/>
          <w:color w:val="auto"/>
          <w:kern w:val="21"/>
          <w:sz w:val="32"/>
          <w:szCs w:val="32"/>
        </w:rPr>
        <w:t>使用单位履行产品质量安全和行业生产安全主体责任情况，执行《兽药生产质量管理规范（2020年修订）》《兽药经营质量管理规范》及科学合理使用兽药等情况。</w:t>
      </w:r>
    </w:p>
    <w:p w14:paraId="5AF1AD5B">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对现场检查发现的违法违规行为，各级农业农村部门要按照《兽药管理条例》《农业行政处罚程序规定》，依法及时组织查处并报送我厅。</w:t>
      </w:r>
    </w:p>
    <w:p w14:paraId="5693E5A9">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楷体" w:hAnsi="楷体" w:eastAsia="楷体" w:cs="楷体"/>
          <w:b w:val="0"/>
          <w:bCs w:val="0"/>
          <w:color w:val="auto"/>
          <w:kern w:val="21"/>
          <w:sz w:val="32"/>
          <w:szCs w:val="32"/>
        </w:rPr>
        <w:t>（二）监督抽检。</w:t>
      </w:r>
      <w:r>
        <w:rPr>
          <w:rFonts w:hint="eastAsia" w:ascii="仿宋" w:hAnsi="仿宋" w:eastAsia="仿宋" w:cs="仿宋"/>
          <w:b w:val="0"/>
          <w:bCs w:val="0"/>
          <w:color w:val="auto"/>
          <w:kern w:val="21"/>
          <w:sz w:val="32"/>
          <w:szCs w:val="32"/>
        </w:rPr>
        <w:t>全省兽药质量监督抽检任务共640批次，其中部级监督抽检计划340批次(含兽用生物制品40批</w:t>
      </w:r>
      <w:r>
        <w:rPr>
          <w:rFonts w:hint="eastAsia" w:ascii="仿宋" w:hAnsi="仿宋" w:eastAsia="仿宋" w:cs="仿宋"/>
          <w:b w:val="0"/>
          <w:bCs w:val="0"/>
          <w:color w:val="auto"/>
          <w:kern w:val="21"/>
          <w:sz w:val="32"/>
          <w:szCs w:val="32"/>
          <w:lang w:val="en-US" w:eastAsia="zh-CN"/>
        </w:rPr>
        <w:t>次</w:t>
      </w:r>
      <w:r>
        <w:rPr>
          <w:rFonts w:hint="eastAsia" w:ascii="仿宋" w:hAnsi="仿宋" w:eastAsia="仿宋" w:cs="仿宋"/>
          <w:b w:val="0"/>
          <w:bCs w:val="0"/>
          <w:color w:val="auto"/>
          <w:kern w:val="21"/>
          <w:sz w:val="32"/>
          <w:szCs w:val="32"/>
        </w:rPr>
        <w:t>)，省级监督抽检计划300批次</w:t>
      </w:r>
      <w:r>
        <w:rPr>
          <w:rFonts w:hint="eastAsia" w:ascii="仿宋" w:hAnsi="仿宋" w:eastAsia="仿宋" w:cs="仿宋"/>
          <w:b w:val="0"/>
          <w:bCs w:val="0"/>
          <w:color w:val="auto"/>
          <w:kern w:val="21"/>
          <w:sz w:val="32"/>
          <w:szCs w:val="32"/>
          <w:lang w:eastAsia="zh-CN"/>
        </w:rPr>
        <w:t>。</w:t>
      </w:r>
    </w:p>
    <w:p w14:paraId="7063C3BE">
      <w:pPr>
        <w:keepNext w:val="0"/>
        <w:keepLines w:val="0"/>
        <w:pageBreakBefore w:val="0"/>
        <w:widowControl w:val="0"/>
        <w:numPr>
          <w:ilvl w:val="0"/>
          <w:numId w:val="0"/>
        </w:numPr>
        <w:tabs>
          <w:tab w:val="left" w:pos="720"/>
        </w:tabs>
        <w:kinsoku/>
        <w:wordWrap/>
        <w:overflowPunct w:val="0"/>
        <w:topLinePunct w:val="0"/>
        <w:autoSpaceDE/>
        <w:autoSpaceDN/>
        <w:bidi w:val="0"/>
        <w:adjustRightInd/>
        <w:snapToGrid w:val="0"/>
        <w:spacing w:line="620" w:lineRule="exact"/>
        <w:ind w:firstLine="640" w:firstLineChars="200"/>
        <w:jc w:val="both"/>
        <w:textAlignment w:val="baseline"/>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1</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抽样及样品确认。监督抽检要涵盖兽药生产企业、经营企业和使用单位，各地承担的监督抽检任务数量见附录1，并</w:t>
      </w:r>
      <w:r>
        <w:rPr>
          <w:rFonts w:hint="eastAsia" w:ascii="仿宋" w:hAnsi="仿宋" w:eastAsia="仿宋" w:cs="仿宋"/>
          <w:b w:val="0"/>
          <w:bCs w:val="0"/>
          <w:color w:val="auto"/>
          <w:kern w:val="21"/>
          <w:sz w:val="32"/>
          <w:szCs w:val="32"/>
          <w:lang w:val="zh-CN"/>
        </w:rPr>
        <w:t>在送样当月的1</w:t>
      </w:r>
      <w:r>
        <w:rPr>
          <w:rFonts w:hint="eastAsia" w:ascii="仿宋" w:hAnsi="仿宋" w:eastAsia="仿宋" w:cs="仿宋"/>
          <w:b w:val="0"/>
          <w:bCs w:val="0"/>
          <w:color w:val="auto"/>
          <w:kern w:val="21"/>
          <w:sz w:val="32"/>
          <w:szCs w:val="32"/>
          <w:lang w:val="en-US" w:eastAsia="zh-CN"/>
        </w:rPr>
        <w:t>5</w:t>
      </w:r>
      <w:r>
        <w:rPr>
          <w:rFonts w:hint="eastAsia" w:ascii="仿宋" w:hAnsi="仿宋" w:eastAsia="仿宋" w:cs="仿宋"/>
          <w:b w:val="0"/>
          <w:bCs w:val="0"/>
          <w:color w:val="auto"/>
          <w:kern w:val="21"/>
          <w:sz w:val="32"/>
          <w:szCs w:val="32"/>
          <w:lang w:val="zh-CN"/>
        </w:rPr>
        <w:t>日前完成抽样及送样工作</w:t>
      </w:r>
      <w:r>
        <w:rPr>
          <w:rFonts w:hint="eastAsia" w:ascii="仿宋" w:hAnsi="仿宋" w:eastAsia="仿宋" w:cs="仿宋"/>
          <w:b w:val="0"/>
          <w:bCs w:val="0"/>
          <w:color w:val="auto"/>
          <w:kern w:val="21"/>
          <w:sz w:val="32"/>
          <w:szCs w:val="32"/>
        </w:rPr>
        <w:t>。重点监测兽用抗菌药、兽用中药，加强对蚕、蜂、宠物用兽药产品抽检力度</w:t>
      </w:r>
      <w:r>
        <w:rPr>
          <w:rFonts w:hint="eastAsia" w:ascii="仿宋" w:hAnsi="仿宋" w:eastAsia="仿宋" w:cs="仿宋"/>
          <w:b w:val="0"/>
          <w:bCs w:val="0"/>
          <w:color w:val="auto"/>
          <w:kern w:val="21"/>
          <w:sz w:val="32"/>
          <w:szCs w:val="32"/>
          <w:lang w:eastAsia="zh-CN"/>
        </w:rPr>
        <w:t>，</w:t>
      </w:r>
      <w:r>
        <w:rPr>
          <w:rFonts w:hint="eastAsia" w:ascii="仿宋" w:hAnsi="仿宋" w:eastAsia="仿宋" w:cs="仿宋"/>
          <w:b w:val="0"/>
          <w:bCs w:val="0"/>
          <w:color w:val="auto"/>
          <w:kern w:val="21"/>
          <w:sz w:val="32"/>
          <w:szCs w:val="32"/>
        </w:rPr>
        <w:t>抽检总数不低于计划数量的10%。开展水产养殖、</w:t>
      </w:r>
      <w:r>
        <w:rPr>
          <w:rFonts w:ascii="仿宋" w:hAnsi="仿宋" w:eastAsia="仿宋" w:cs="仿宋"/>
          <w:b w:val="0"/>
          <w:bCs w:val="0"/>
          <w:color w:val="auto"/>
          <w:kern w:val="21"/>
          <w:sz w:val="32"/>
          <w:szCs w:val="32"/>
        </w:rPr>
        <w:t>蛋鸡养殖用药，以及网络经营兽药监督抽检，抽检总数不低于计划数量的</w:t>
      </w:r>
      <w:r>
        <w:rPr>
          <w:rFonts w:hint="eastAsia" w:ascii="仿宋" w:hAnsi="仿宋" w:eastAsia="仿宋" w:cs="仿宋"/>
          <w:b w:val="0"/>
          <w:bCs w:val="0"/>
          <w:color w:val="auto"/>
          <w:kern w:val="21"/>
          <w:sz w:val="32"/>
          <w:szCs w:val="32"/>
        </w:rPr>
        <w:t>20%</w:t>
      </w:r>
      <w:r>
        <w:rPr>
          <w:rFonts w:hint="eastAsia" w:ascii="仿宋" w:hAnsi="仿宋" w:eastAsia="仿宋" w:cs="仿宋"/>
          <w:b w:val="0"/>
          <w:bCs w:val="0"/>
          <w:color w:val="auto"/>
          <w:kern w:val="21"/>
          <w:sz w:val="32"/>
          <w:szCs w:val="32"/>
          <w:lang w:eastAsia="zh-CN"/>
        </w:rPr>
        <w:t>，网络经营兽药监督抽检原则上每个市（州）不少于</w:t>
      </w:r>
      <w:r>
        <w:rPr>
          <w:rFonts w:hint="eastAsia" w:ascii="仿宋" w:hAnsi="仿宋" w:eastAsia="仿宋" w:cs="仿宋"/>
          <w:b w:val="0"/>
          <w:bCs w:val="0"/>
          <w:color w:val="auto"/>
          <w:kern w:val="21"/>
          <w:sz w:val="32"/>
          <w:szCs w:val="32"/>
          <w:lang w:val="en-US" w:eastAsia="zh-CN"/>
        </w:rPr>
        <w:t>2个样品</w:t>
      </w:r>
      <w:r>
        <w:rPr>
          <w:rFonts w:hint="eastAsia" w:ascii="仿宋" w:hAnsi="仿宋" w:eastAsia="仿宋" w:cs="仿宋"/>
          <w:b w:val="0"/>
          <w:bCs w:val="0"/>
          <w:color w:val="auto"/>
          <w:kern w:val="21"/>
          <w:sz w:val="32"/>
          <w:szCs w:val="32"/>
        </w:rPr>
        <w:t>。上述产品的主产区、主销区以及用量较大的地区可适当增加抽检比例。抽检具体程序和要求按照《兽药质量监督抽查检验管理办法》（农业农村部公告第645号，以下简称《抽检办法》）执行。其中，在经营和使用环节抽样时，抽样单位要复印被抽样单位的购货凭证（发票、收据或结算单等），留存备查。抽样单位应严格核对样品的贮藏条件，如与规定条件不符，需详细记录，并在抽样单中注明；如抽取近效期的样品，应能满足检验、结果确认和复检等工作时限要求，时限可根据《抽检办法》规定核算，必要时联系省兽药监察所确认。</w:t>
      </w:r>
      <w:r>
        <w:rPr>
          <w:rFonts w:hint="eastAsia" w:ascii="仿宋" w:hAnsi="仿宋" w:eastAsia="仿宋" w:cs="仿宋"/>
          <w:b w:val="0"/>
          <w:bCs w:val="0"/>
          <w:color w:val="auto"/>
          <w:kern w:val="21"/>
          <w:sz w:val="32"/>
          <w:szCs w:val="32"/>
          <w:lang w:eastAsia="zh-CN"/>
        </w:rPr>
        <w:t>抽检网络经营兽药产品要严格按照《</w:t>
      </w:r>
      <w:r>
        <w:rPr>
          <w:rFonts w:hint="eastAsia" w:ascii="仿宋" w:hAnsi="仿宋" w:eastAsia="仿宋" w:cs="仿宋"/>
          <w:b w:val="0"/>
          <w:bCs w:val="0"/>
          <w:color w:val="auto"/>
          <w:kern w:val="21"/>
          <w:sz w:val="32"/>
          <w:szCs w:val="32"/>
        </w:rPr>
        <w:t>网络经营环节兽药质量监督抽检具体要求（试行）</w:t>
      </w:r>
      <w:r>
        <w:rPr>
          <w:rFonts w:hint="eastAsia" w:ascii="仿宋" w:hAnsi="仿宋" w:eastAsia="仿宋" w:cs="仿宋"/>
          <w:b w:val="0"/>
          <w:bCs w:val="0"/>
          <w:color w:val="auto"/>
          <w:kern w:val="21"/>
          <w:sz w:val="32"/>
          <w:szCs w:val="32"/>
          <w:lang w:eastAsia="zh-CN"/>
        </w:rPr>
        <w:t>》（附录</w:t>
      </w:r>
      <w:r>
        <w:rPr>
          <w:rFonts w:hint="eastAsia" w:ascii="仿宋" w:hAnsi="仿宋" w:eastAsia="仿宋" w:cs="仿宋"/>
          <w:b w:val="0"/>
          <w:bCs w:val="0"/>
          <w:color w:val="auto"/>
          <w:kern w:val="21"/>
          <w:sz w:val="32"/>
          <w:szCs w:val="32"/>
          <w:lang w:val="en-US" w:eastAsia="zh-CN"/>
        </w:rPr>
        <w:t>5</w:t>
      </w:r>
      <w:r>
        <w:rPr>
          <w:rFonts w:hint="eastAsia" w:ascii="仿宋" w:hAnsi="仿宋" w:eastAsia="仿宋" w:cs="仿宋"/>
          <w:b w:val="0"/>
          <w:bCs w:val="0"/>
          <w:color w:val="auto"/>
          <w:kern w:val="21"/>
          <w:sz w:val="32"/>
          <w:szCs w:val="32"/>
          <w:lang w:eastAsia="zh-CN"/>
        </w:rPr>
        <w:t>）进行。</w:t>
      </w:r>
      <w:r>
        <w:rPr>
          <w:rFonts w:hint="eastAsia" w:ascii="仿宋" w:hAnsi="仿宋" w:eastAsia="仿宋" w:cs="仿宋"/>
          <w:b w:val="0"/>
          <w:bCs w:val="0"/>
          <w:color w:val="auto"/>
          <w:kern w:val="21"/>
          <w:sz w:val="32"/>
          <w:szCs w:val="32"/>
        </w:rPr>
        <w:t>抽检中发现的假兽药和未赋二维码产品要按照附录2的要求统计上报省兽药监察所。抽取的样品应以快递方式寄送或直接送至省兽药监察所，运输过程中要注意保存方式，</w:t>
      </w:r>
      <w:r>
        <w:rPr>
          <w:rFonts w:ascii="仿宋" w:hAnsi="仿宋" w:eastAsia="仿宋" w:cs="仿宋"/>
          <w:b w:val="0"/>
          <w:bCs w:val="0"/>
          <w:color w:val="auto"/>
          <w:kern w:val="21"/>
          <w:sz w:val="32"/>
          <w:szCs w:val="32"/>
        </w:rPr>
        <w:t>确保按</w:t>
      </w:r>
      <w:r>
        <w:rPr>
          <w:rFonts w:hint="eastAsia" w:ascii="仿宋" w:hAnsi="仿宋" w:eastAsia="仿宋" w:cs="仿宋"/>
          <w:b w:val="0"/>
          <w:bCs w:val="0"/>
          <w:color w:val="auto"/>
          <w:kern w:val="21"/>
          <w:sz w:val="32"/>
          <w:szCs w:val="32"/>
        </w:rPr>
        <w:t>规定的</w:t>
      </w:r>
      <w:r>
        <w:rPr>
          <w:rFonts w:ascii="仿宋" w:hAnsi="仿宋" w:eastAsia="仿宋" w:cs="仿宋"/>
          <w:b w:val="0"/>
          <w:bCs w:val="0"/>
          <w:color w:val="auto"/>
          <w:kern w:val="21"/>
          <w:sz w:val="32"/>
          <w:szCs w:val="32"/>
        </w:rPr>
        <w:t>贮藏</w:t>
      </w:r>
      <w:r>
        <w:rPr>
          <w:rFonts w:hint="eastAsia" w:ascii="仿宋" w:hAnsi="仿宋" w:eastAsia="仿宋" w:cs="仿宋"/>
          <w:b w:val="0"/>
          <w:bCs w:val="0"/>
          <w:color w:val="auto"/>
          <w:kern w:val="21"/>
          <w:sz w:val="32"/>
          <w:szCs w:val="32"/>
        </w:rPr>
        <w:t>要求</w:t>
      </w:r>
      <w:r>
        <w:rPr>
          <w:rFonts w:hint="eastAsia" w:ascii="仿宋" w:hAnsi="仿宋" w:eastAsia="仿宋" w:cs="仿宋"/>
          <w:b w:val="0"/>
          <w:bCs w:val="0"/>
          <w:color w:val="auto"/>
          <w:kern w:val="21"/>
          <w:sz w:val="32"/>
          <w:szCs w:val="32"/>
          <w:lang w:val="en-US" w:eastAsia="zh-CN"/>
        </w:rPr>
        <w:t>送达</w:t>
      </w:r>
      <w:r>
        <w:rPr>
          <w:rFonts w:hint="eastAsia" w:ascii="仿宋" w:hAnsi="仿宋" w:eastAsia="仿宋" w:cs="仿宋"/>
          <w:b w:val="0"/>
          <w:bCs w:val="0"/>
          <w:color w:val="auto"/>
          <w:kern w:val="21"/>
          <w:sz w:val="32"/>
          <w:szCs w:val="32"/>
        </w:rPr>
        <w:t>。</w:t>
      </w:r>
    </w:p>
    <w:p w14:paraId="4704F18F">
      <w:pPr>
        <w:keepNext w:val="0"/>
        <w:keepLines w:val="0"/>
        <w:pageBreakBefore w:val="0"/>
        <w:widowControl w:val="0"/>
        <w:shd w:val="clear" w:color="auto" w:fill="FFFFFF"/>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2</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检验。检验程序及有关要求按照《抽检办法》执行。省兽药监察所发现不符合收检要求的样品时，应及时报告我厅和抽样单位，并在汇总报告中进行说明。</w:t>
      </w:r>
    </w:p>
    <w:p w14:paraId="63EB92BE">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lang w:val="en-US" w:eastAsia="zh-CN"/>
        </w:rPr>
        <w:t xml:space="preserve">2.1 </w:t>
      </w:r>
      <w:r>
        <w:rPr>
          <w:rFonts w:hint="eastAsia" w:ascii="仿宋" w:hAnsi="仿宋" w:eastAsia="仿宋" w:cs="仿宋"/>
          <w:b w:val="0"/>
          <w:bCs w:val="0"/>
          <w:color w:val="auto"/>
          <w:kern w:val="21"/>
          <w:sz w:val="32"/>
          <w:szCs w:val="32"/>
        </w:rPr>
        <w:t>检验项目。对非兽用生物制品类兽药，省兽药监察所应对</w:t>
      </w:r>
      <w:r>
        <w:rPr>
          <w:rFonts w:hint="eastAsia" w:ascii="仿宋" w:hAnsi="仿宋" w:eastAsia="仿宋" w:cs="仿宋"/>
          <w:b w:val="0"/>
          <w:bCs w:val="0"/>
          <w:color w:val="auto"/>
          <w:kern w:val="21"/>
          <w:sz w:val="32"/>
          <w:szCs w:val="32"/>
          <w:lang w:eastAsia="zh-CN"/>
        </w:rPr>
        <w:t>部级</w:t>
      </w:r>
      <w:r>
        <w:rPr>
          <w:rFonts w:hint="eastAsia" w:ascii="仿宋" w:hAnsi="仿宋" w:eastAsia="仿宋" w:cs="仿宋"/>
          <w:b w:val="0"/>
          <w:bCs w:val="0"/>
          <w:color w:val="auto"/>
          <w:kern w:val="21"/>
          <w:sz w:val="32"/>
          <w:szCs w:val="32"/>
        </w:rPr>
        <w:t>监督抽检的全部产品进行非法添加物筛查。对兽药国家标准规定了性状、鉴别和含量测定等项目的产品，应全部进行上述项目的测定。从生产环节抽取的注射剂产品，还应进行可见异物检查。省兽药监察所可根据产品质量风险，选取不少于30%的样品，增加1－3项检验项目，如有关物质、组分、含量均匀度、特征图谱、溶出度、细菌内毒素、无菌、微生物限度等。对跟踪抽检的产品应针对农业农村部和我厅通报的不合格项目进行检测。</w:t>
      </w:r>
    </w:p>
    <w:p w14:paraId="587C7CED">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兽用生物制品类兽药检验项目由省兽药监察所根据自身检测参数范围确定。</w:t>
      </w:r>
    </w:p>
    <w:p w14:paraId="4E87E053">
      <w:pPr>
        <w:pStyle w:val="4"/>
        <w:keepNext w:val="0"/>
        <w:keepLines w:val="0"/>
        <w:pageBreakBefore w:val="0"/>
        <w:widowControl w:val="0"/>
        <w:suppressLineNumbers w:val="0"/>
        <w:kinsoku/>
        <w:wordWrap/>
        <w:topLinePunct w:val="0"/>
        <w:autoSpaceDE/>
        <w:autoSpaceDN/>
        <w:bidi w:val="0"/>
        <w:adjustRightInd/>
        <w:spacing w:line="620" w:lineRule="exact"/>
        <w:ind w:left="0" w:firstLine="640"/>
        <w:jc w:val="both"/>
        <w:rPr>
          <w:rFonts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lang w:val="en-US" w:eastAsia="zh-CN"/>
        </w:rPr>
        <w:t xml:space="preserve">2.2 </w:t>
      </w:r>
      <w:r>
        <w:rPr>
          <w:rFonts w:hint="eastAsia" w:ascii="仿宋" w:hAnsi="仿宋" w:eastAsia="仿宋" w:cs="仿宋"/>
          <w:b w:val="0"/>
          <w:bCs w:val="0"/>
          <w:color w:val="auto"/>
          <w:kern w:val="21"/>
          <w:sz w:val="32"/>
          <w:szCs w:val="32"/>
        </w:rPr>
        <w:t>非法添加物检验。省兽药监察所</w:t>
      </w:r>
      <w:r>
        <w:rPr>
          <w:rFonts w:ascii="仿宋" w:hAnsi="仿宋" w:eastAsia="仿宋" w:cs="仿宋"/>
          <w:b w:val="0"/>
          <w:bCs w:val="0"/>
          <w:color w:val="auto"/>
          <w:kern w:val="21"/>
          <w:sz w:val="32"/>
          <w:szCs w:val="32"/>
        </w:rPr>
        <w:t>应先按照农业农村部公告第</w:t>
      </w:r>
      <w:r>
        <w:rPr>
          <w:rFonts w:hint="eastAsia" w:ascii="仿宋" w:hAnsi="仿宋" w:eastAsia="仿宋" w:cs="仿宋"/>
          <w:b w:val="0"/>
          <w:bCs w:val="0"/>
          <w:color w:val="auto"/>
          <w:kern w:val="21"/>
          <w:sz w:val="32"/>
          <w:szCs w:val="32"/>
        </w:rPr>
        <w:t>968</w:t>
      </w:r>
      <w:r>
        <w:rPr>
          <w:rFonts w:ascii="仿宋" w:hAnsi="仿宋" w:eastAsia="仿宋" w:cs="仿宋"/>
          <w:b w:val="0"/>
          <w:bCs w:val="0"/>
          <w:color w:val="auto"/>
          <w:kern w:val="21"/>
          <w:sz w:val="32"/>
          <w:szCs w:val="32"/>
        </w:rPr>
        <w:t>号《兽药中非法添加药物快速筛查法（液相色谱—二极管阵列法）》、《兽药中添加辅料快速筛查法（超高效液相色谱—二极管阵列法）》进行筛查，也可采用自建方法进行高通量非法添加药物成分的筛查，确定有非法添加成分后，按农业部公告第2353号、第2395号、第2448号、第2451号、第2571号，以及农业农村部公告第289号、第384号、第485号、第611号、第801号等发布的补充检查方法进行测定。</w:t>
      </w:r>
    </w:p>
    <w:p w14:paraId="6D9F22A6">
      <w:pPr>
        <w:pStyle w:val="4"/>
        <w:keepNext w:val="0"/>
        <w:keepLines w:val="0"/>
        <w:pageBreakBefore w:val="0"/>
        <w:widowControl w:val="0"/>
        <w:suppressLineNumbers w:val="0"/>
        <w:kinsoku/>
        <w:wordWrap/>
        <w:topLinePunct w:val="0"/>
        <w:autoSpaceDE/>
        <w:autoSpaceDN/>
        <w:bidi w:val="0"/>
        <w:adjustRightInd/>
        <w:spacing w:line="620" w:lineRule="exact"/>
        <w:ind w:left="0" w:firstLine="640"/>
        <w:jc w:val="both"/>
        <w:rPr>
          <w:rFonts w:ascii="仿宋" w:hAnsi="仿宋" w:eastAsia="仿宋" w:cs="仿宋"/>
          <w:b w:val="0"/>
          <w:bCs w:val="0"/>
          <w:color w:val="auto"/>
          <w:kern w:val="21"/>
          <w:sz w:val="32"/>
          <w:szCs w:val="32"/>
        </w:rPr>
      </w:pPr>
      <w:r>
        <w:rPr>
          <w:rFonts w:ascii="仿宋" w:hAnsi="仿宋" w:eastAsia="仿宋" w:cs="仿宋"/>
          <w:b w:val="0"/>
          <w:bCs w:val="0"/>
          <w:color w:val="auto"/>
          <w:kern w:val="21"/>
          <w:sz w:val="32"/>
          <w:szCs w:val="32"/>
        </w:rPr>
        <w:t>监督抽检中发现新的尚无检测方法的非法添加药物时，</w:t>
      </w:r>
      <w:r>
        <w:rPr>
          <w:rFonts w:hint="eastAsia" w:ascii="仿宋" w:hAnsi="仿宋" w:eastAsia="仿宋" w:cs="仿宋"/>
          <w:b w:val="0"/>
          <w:bCs w:val="0"/>
          <w:color w:val="auto"/>
          <w:kern w:val="21"/>
          <w:sz w:val="32"/>
          <w:szCs w:val="32"/>
        </w:rPr>
        <w:t>省兽药监察所</w:t>
      </w:r>
      <w:r>
        <w:rPr>
          <w:rFonts w:hint="default" w:ascii="仿宋" w:hAnsi="仿宋" w:eastAsia="仿宋" w:cs="仿宋"/>
          <w:b w:val="0"/>
          <w:bCs w:val="0"/>
          <w:color w:val="auto"/>
          <w:kern w:val="21"/>
          <w:sz w:val="32"/>
          <w:szCs w:val="32"/>
        </w:rPr>
        <w:t>要第一时间报告中监所</w:t>
      </w:r>
      <w:r>
        <w:rPr>
          <w:rFonts w:hint="eastAsia" w:ascii="仿宋" w:hAnsi="仿宋" w:eastAsia="仿宋" w:cs="仿宋"/>
          <w:b w:val="0"/>
          <w:bCs w:val="0"/>
          <w:color w:val="auto"/>
          <w:kern w:val="21"/>
          <w:sz w:val="32"/>
          <w:szCs w:val="32"/>
          <w:lang w:eastAsia="zh-CN"/>
        </w:rPr>
        <w:t>和</w:t>
      </w:r>
      <w:r>
        <w:rPr>
          <w:rFonts w:hint="eastAsia" w:ascii="仿宋" w:hAnsi="仿宋" w:eastAsia="仿宋" w:cs="仿宋"/>
          <w:b w:val="0"/>
          <w:bCs w:val="0"/>
          <w:color w:val="auto"/>
          <w:kern w:val="21"/>
          <w:sz w:val="32"/>
          <w:szCs w:val="32"/>
          <w:lang w:val="en-US" w:eastAsia="zh-CN"/>
        </w:rPr>
        <w:t>我</w:t>
      </w:r>
      <w:r>
        <w:rPr>
          <w:rFonts w:hint="eastAsia" w:ascii="仿宋" w:hAnsi="仿宋" w:eastAsia="仿宋" w:cs="仿宋"/>
          <w:b w:val="0"/>
          <w:bCs w:val="0"/>
          <w:color w:val="auto"/>
          <w:kern w:val="21"/>
          <w:sz w:val="32"/>
          <w:szCs w:val="32"/>
          <w:lang w:eastAsia="zh-CN"/>
        </w:rPr>
        <w:t>厅，</w:t>
      </w:r>
      <w:r>
        <w:rPr>
          <w:rFonts w:hint="default" w:ascii="仿宋" w:hAnsi="仿宋" w:eastAsia="仿宋" w:cs="仿宋"/>
          <w:b w:val="0"/>
          <w:bCs w:val="0"/>
          <w:color w:val="auto"/>
          <w:kern w:val="21"/>
          <w:sz w:val="32"/>
          <w:szCs w:val="32"/>
        </w:rPr>
        <w:t>待补充检查方法发布后再进行检验。</w:t>
      </w:r>
    </w:p>
    <w:p w14:paraId="36B62CDE">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3</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检验报告送达及复检</w:t>
      </w:r>
    </w:p>
    <w:p w14:paraId="7E2A4C70">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b w:val="0"/>
          <w:bCs w:val="0"/>
          <w:color w:val="auto"/>
          <w:sz w:val="32"/>
          <w:szCs w:val="22"/>
        </w:rPr>
      </w:pPr>
      <w:r>
        <w:rPr>
          <w:rFonts w:hint="eastAsia" w:ascii="仿宋" w:hAnsi="仿宋" w:eastAsia="仿宋" w:cs="仿宋"/>
          <w:b w:val="0"/>
          <w:bCs w:val="0"/>
          <w:color w:val="auto"/>
          <w:kern w:val="21"/>
          <w:sz w:val="32"/>
          <w:szCs w:val="32"/>
        </w:rPr>
        <w:t>检验报告送达及复检基本程序及其他</w:t>
      </w:r>
      <w:r>
        <w:rPr>
          <w:rFonts w:ascii="仿宋" w:hAnsi="仿宋" w:eastAsia="仿宋" w:cs="仿宋"/>
          <w:b w:val="0"/>
          <w:bCs w:val="0"/>
          <w:color w:val="auto"/>
          <w:kern w:val="21"/>
          <w:sz w:val="32"/>
          <w:szCs w:val="32"/>
        </w:rPr>
        <w:t>结果确认时限</w:t>
      </w:r>
      <w:r>
        <w:rPr>
          <w:rFonts w:hint="eastAsia" w:ascii="仿宋" w:hAnsi="仿宋" w:eastAsia="仿宋" w:cs="仿宋"/>
          <w:b w:val="0"/>
          <w:bCs w:val="0"/>
          <w:color w:val="auto"/>
          <w:kern w:val="21"/>
          <w:sz w:val="32"/>
          <w:szCs w:val="32"/>
        </w:rPr>
        <w:t>要求按照《抽检办法》执行。</w:t>
      </w:r>
      <w:r>
        <w:rPr>
          <w:rFonts w:hint="eastAsia" w:ascii="仿宋" w:hAnsi="仿宋" w:eastAsia="仿宋" w:cs="仿宋"/>
          <w:b w:val="0"/>
          <w:bCs w:val="0"/>
          <w:color w:val="auto"/>
          <w:kern w:val="21"/>
          <w:sz w:val="32"/>
          <w:szCs w:val="32"/>
          <w:lang w:eastAsia="zh-CN"/>
        </w:rPr>
        <w:t>省兽药监察所应及时</w:t>
      </w:r>
      <w:r>
        <w:rPr>
          <w:rFonts w:hint="eastAsia" w:ascii="仿宋" w:hAnsi="仿宋" w:eastAsia="仿宋" w:cs="仿宋"/>
          <w:b w:val="0"/>
          <w:bCs w:val="0"/>
          <w:color w:val="auto"/>
          <w:kern w:val="21"/>
          <w:sz w:val="32"/>
          <w:szCs w:val="32"/>
          <w:lang w:val="en-US" w:eastAsia="zh-CN"/>
        </w:rPr>
        <w:t>将</w:t>
      </w:r>
      <w:r>
        <w:rPr>
          <w:rFonts w:hint="eastAsia" w:ascii="仿宋" w:hAnsi="仿宋" w:eastAsia="仿宋" w:cs="仿宋"/>
          <w:b w:val="0"/>
          <w:bCs w:val="0"/>
          <w:color w:val="auto"/>
          <w:kern w:val="21"/>
          <w:sz w:val="32"/>
          <w:szCs w:val="32"/>
          <w:lang w:eastAsia="zh-CN"/>
        </w:rPr>
        <w:t>不合格检验报告报我厅，我厅</w:t>
      </w:r>
      <w:r>
        <w:rPr>
          <w:rFonts w:hint="eastAsia" w:ascii="仿宋" w:hAnsi="仿宋" w:eastAsia="仿宋" w:cs="仿宋"/>
          <w:b w:val="0"/>
          <w:bCs w:val="0"/>
          <w:color w:val="auto"/>
          <w:kern w:val="21"/>
          <w:sz w:val="32"/>
          <w:szCs w:val="32"/>
          <w:lang w:val="en-US" w:eastAsia="zh-CN"/>
        </w:rPr>
        <w:t>将</w:t>
      </w:r>
      <w:r>
        <w:rPr>
          <w:rFonts w:hint="eastAsia" w:ascii="仿宋" w:hAnsi="仿宋" w:eastAsia="仿宋" w:cs="仿宋"/>
          <w:b w:val="0"/>
          <w:bCs w:val="0"/>
          <w:color w:val="auto"/>
          <w:kern w:val="21"/>
          <w:sz w:val="32"/>
          <w:szCs w:val="32"/>
          <w:lang w:eastAsia="zh-CN"/>
        </w:rPr>
        <w:t>及时发送至</w:t>
      </w:r>
      <w:r>
        <w:rPr>
          <w:rFonts w:hint="eastAsia" w:ascii="仿宋" w:hAnsi="仿宋" w:eastAsia="仿宋" w:cs="仿宋"/>
          <w:b w:val="0"/>
          <w:bCs w:val="0"/>
          <w:color w:val="auto"/>
          <w:kern w:val="21"/>
          <w:sz w:val="32"/>
          <w:szCs w:val="32"/>
        </w:rPr>
        <w:t>被抽样单位所在市</w:t>
      </w:r>
      <w:r>
        <w:rPr>
          <w:rFonts w:hint="eastAsia" w:ascii="仿宋" w:hAnsi="仿宋" w:eastAsia="仿宋" w:cs="仿宋"/>
          <w:b w:val="0"/>
          <w:bCs w:val="0"/>
          <w:color w:val="auto"/>
          <w:kern w:val="21"/>
          <w:sz w:val="32"/>
          <w:szCs w:val="32"/>
          <w:lang w:val="en-US" w:eastAsia="zh-CN"/>
        </w:rPr>
        <w:t>(州)</w:t>
      </w:r>
      <w:r>
        <w:rPr>
          <w:rFonts w:hint="eastAsia" w:ascii="仿宋" w:hAnsi="仿宋" w:eastAsia="仿宋" w:cs="仿宋"/>
          <w:b w:val="0"/>
          <w:bCs w:val="0"/>
          <w:color w:val="auto"/>
          <w:kern w:val="21"/>
          <w:sz w:val="32"/>
          <w:szCs w:val="32"/>
        </w:rPr>
        <w:t>农业农村部门</w:t>
      </w:r>
      <w:r>
        <w:rPr>
          <w:rFonts w:hint="eastAsia" w:ascii="仿宋" w:hAnsi="仿宋" w:eastAsia="仿宋" w:cs="仿宋"/>
          <w:b w:val="0"/>
          <w:bCs w:val="0"/>
          <w:color w:val="auto"/>
          <w:kern w:val="21"/>
          <w:sz w:val="32"/>
          <w:szCs w:val="32"/>
          <w:lang w:eastAsia="zh-CN"/>
        </w:rPr>
        <w:t>组织结果确认</w:t>
      </w:r>
      <w:r>
        <w:rPr>
          <w:rFonts w:hint="eastAsia" w:ascii="仿宋" w:hAnsi="仿宋" w:eastAsia="仿宋" w:cs="仿宋"/>
          <w:b w:val="0"/>
          <w:bCs w:val="0"/>
          <w:color w:val="auto"/>
          <w:kern w:val="21"/>
          <w:sz w:val="32"/>
          <w:szCs w:val="32"/>
        </w:rPr>
        <w:t>。对经营、使用环节监督抽检发现的不合格兽药产品，检验报告除</w:t>
      </w:r>
      <w:r>
        <w:rPr>
          <w:rFonts w:ascii="仿宋" w:hAnsi="仿宋" w:eastAsia="仿宋" w:cs="仿宋"/>
          <w:b w:val="0"/>
          <w:bCs w:val="0"/>
          <w:color w:val="auto"/>
          <w:kern w:val="21"/>
          <w:sz w:val="32"/>
          <w:szCs w:val="32"/>
        </w:rPr>
        <w:t>发送被抽样单位所在</w:t>
      </w:r>
      <w:r>
        <w:rPr>
          <w:rFonts w:hint="eastAsia" w:ascii="仿宋" w:hAnsi="仿宋" w:eastAsia="仿宋" w:cs="仿宋"/>
          <w:b w:val="0"/>
          <w:bCs w:val="0"/>
          <w:color w:val="auto"/>
          <w:kern w:val="21"/>
          <w:sz w:val="32"/>
          <w:szCs w:val="32"/>
          <w:lang w:eastAsia="zh-CN"/>
        </w:rPr>
        <w:t>市（</w:t>
      </w:r>
      <w:r>
        <w:rPr>
          <w:rFonts w:hint="eastAsia" w:ascii="仿宋" w:hAnsi="仿宋" w:eastAsia="仿宋" w:cs="仿宋"/>
          <w:b w:val="0"/>
          <w:bCs w:val="0"/>
          <w:color w:val="auto"/>
          <w:kern w:val="21"/>
          <w:sz w:val="32"/>
          <w:szCs w:val="32"/>
          <w:lang w:val="en-US" w:eastAsia="zh-CN"/>
        </w:rPr>
        <w:t>州</w:t>
      </w:r>
      <w:r>
        <w:rPr>
          <w:rFonts w:hint="eastAsia" w:ascii="仿宋" w:hAnsi="仿宋" w:eastAsia="仿宋" w:cs="仿宋"/>
          <w:b w:val="0"/>
          <w:bCs w:val="0"/>
          <w:color w:val="auto"/>
          <w:kern w:val="21"/>
          <w:sz w:val="32"/>
          <w:szCs w:val="32"/>
          <w:lang w:eastAsia="zh-CN"/>
        </w:rPr>
        <w:t>）</w:t>
      </w:r>
      <w:r>
        <w:rPr>
          <w:rFonts w:ascii="仿宋" w:hAnsi="仿宋" w:eastAsia="仿宋" w:cs="仿宋"/>
          <w:b w:val="0"/>
          <w:bCs w:val="0"/>
          <w:color w:val="auto"/>
          <w:kern w:val="21"/>
          <w:sz w:val="32"/>
          <w:szCs w:val="32"/>
        </w:rPr>
        <w:t>农业农村部门外，</w:t>
      </w:r>
      <w:r>
        <w:rPr>
          <w:rFonts w:hint="eastAsia" w:ascii="仿宋" w:hAnsi="仿宋" w:eastAsia="仿宋" w:cs="仿宋"/>
          <w:b w:val="0"/>
          <w:bCs w:val="0"/>
          <w:color w:val="auto"/>
          <w:kern w:val="21"/>
          <w:sz w:val="32"/>
          <w:szCs w:val="32"/>
          <w:lang w:eastAsia="zh-CN"/>
        </w:rPr>
        <w:t>按农业农村部要求，我厅同时发送至标称生产企业所在地省级农业农村部门组织结果确认</w:t>
      </w:r>
      <w:r>
        <w:rPr>
          <w:rFonts w:ascii="仿宋" w:hAnsi="仿宋" w:eastAsia="仿宋" w:cs="仿宋"/>
          <w:b w:val="0"/>
          <w:bCs w:val="0"/>
          <w:color w:val="auto"/>
          <w:kern w:val="21"/>
          <w:sz w:val="32"/>
          <w:szCs w:val="32"/>
        </w:rPr>
        <w:t>。</w:t>
      </w:r>
    </w:p>
    <w:p w14:paraId="5B5449A9">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4</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结果处理</w:t>
      </w:r>
    </w:p>
    <w:p w14:paraId="5F407B79">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lang w:val="en-US" w:eastAsia="zh-CN"/>
        </w:rPr>
        <w:t xml:space="preserve">4.1 </w:t>
      </w:r>
      <w:r>
        <w:rPr>
          <w:rFonts w:hint="eastAsia" w:ascii="仿宋" w:hAnsi="仿宋" w:eastAsia="仿宋" w:cs="仿宋"/>
          <w:b w:val="0"/>
          <w:bCs w:val="0"/>
          <w:color w:val="auto"/>
          <w:kern w:val="21"/>
          <w:sz w:val="32"/>
          <w:szCs w:val="32"/>
        </w:rPr>
        <w:t>假、劣兽药查处。监督抽检发现的假、劣兽药，应立即固定证据，按照《兽药管理条例》《抽检办法》有关程序和要求执行。对符合农业农村部第97号公告从重处罚情形的，依法从重处罚。</w:t>
      </w:r>
    </w:p>
    <w:p w14:paraId="0F9B0DD0">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lang w:val="en-US" w:eastAsia="zh-CN"/>
        </w:rPr>
        <w:t xml:space="preserve">4.2 </w:t>
      </w:r>
      <w:r>
        <w:rPr>
          <w:rFonts w:hint="eastAsia" w:ascii="仿宋" w:hAnsi="仿宋" w:eastAsia="仿宋" w:cs="仿宋"/>
          <w:b w:val="0"/>
          <w:bCs w:val="0"/>
          <w:color w:val="auto"/>
          <w:kern w:val="21"/>
          <w:sz w:val="32"/>
          <w:szCs w:val="32"/>
        </w:rPr>
        <w:t>部级重点监控企业的处理。根据农业农村部重点监控企业判定原则（详见农牧发〔2026〕4号附件1）被列入部级重点监控的企业，各地要督促企业做好问题产品召回处置、原因分析及整改等工作，</w:t>
      </w:r>
      <w:r>
        <w:rPr>
          <w:rFonts w:hint="eastAsia" w:ascii="仿宋" w:hAnsi="仿宋" w:eastAsia="仿宋" w:cs="仿宋"/>
          <w:b w:val="0"/>
          <w:bCs w:val="0"/>
          <w:color w:val="auto"/>
          <w:kern w:val="21"/>
          <w:sz w:val="32"/>
          <w:szCs w:val="32"/>
          <w:lang w:val="en-US" w:eastAsia="zh-CN"/>
        </w:rPr>
        <w:t>同时</w:t>
      </w:r>
      <w:r>
        <w:rPr>
          <w:rFonts w:hint="eastAsia" w:ascii="仿宋" w:hAnsi="仿宋" w:eastAsia="仿宋" w:cs="仿宋"/>
          <w:b w:val="0"/>
          <w:bCs w:val="0"/>
          <w:color w:val="auto"/>
          <w:kern w:val="21"/>
          <w:sz w:val="32"/>
          <w:szCs w:val="32"/>
        </w:rPr>
        <w:t>加大监督检查力度</w:t>
      </w:r>
      <w:r>
        <w:rPr>
          <w:rFonts w:hint="eastAsia" w:ascii="仿宋" w:hAnsi="仿宋" w:eastAsia="仿宋" w:cs="仿宋"/>
          <w:b w:val="0"/>
          <w:bCs w:val="0"/>
          <w:color w:val="auto"/>
          <w:kern w:val="21"/>
          <w:sz w:val="32"/>
          <w:szCs w:val="32"/>
          <w:lang w:val="en-US" w:eastAsia="zh-CN"/>
        </w:rPr>
        <w:t>和</w:t>
      </w:r>
      <w:r>
        <w:rPr>
          <w:rFonts w:hint="eastAsia" w:ascii="仿宋" w:hAnsi="仿宋" w:eastAsia="仿宋" w:cs="仿宋"/>
          <w:b w:val="0"/>
          <w:bCs w:val="0"/>
          <w:color w:val="auto"/>
          <w:kern w:val="21"/>
          <w:sz w:val="32"/>
          <w:szCs w:val="32"/>
        </w:rPr>
        <w:t>抽检频次。</w:t>
      </w:r>
    </w:p>
    <w:p w14:paraId="70E0DDF2">
      <w:pPr>
        <w:keepNext w:val="0"/>
        <w:keepLines w:val="0"/>
        <w:pageBreakBefore w:val="0"/>
        <w:widowControl w:val="0"/>
        <w:kinsoku/>
        <w:wordWrap/>
        <w:overflowPunct w:val="0"/>
        <w:topLinePunct w:val="0"/>
        <w:autoSpaceDE/>
        <w:autoSpaceDN/>
        <w:bidi w:val="0"/>
        <w:adjustRightInd/>
        <w:snapToGrid w:val="0"/>
        <w:spacing w:line="620" w:lineRule="exact"/>
        <w:ind w:firstLine="640" w:firstLineChars="200"/>
        <w:jc w:val="both"/>
        <w:rPr>
          <w:rFonts w:hint="eastAsia"/>
          <w:b w:val="0"/>
          <w:bCs w:val="0"/>
          <w:color w:val="auto"/>
          <w:sz w:val="32"/>
          <w:szCs w:val="22"/>
        </w:rPr>
      </w:pPr>
      <w:r>
        <w:rPr>
          <w:rFonts w:hint="eastAsia" w:ascii="楷体" w:hAnsi="楷体" w:eastAsia="楷体" w:cs="楷体"/>
          <w:b w:val="0"/>
          <w:bCs w:val="0"/>
          <w:color w:val="auto"/>
          <w:kern w:val="21"/>
          <w:sz w:val="32"/>
          <w:szCs w:val="32"/>
          <w:lang w:eastAsia="zh-CN"/>
        </w:rPr>
        <w:t>（三）</w:t>
      </w:r>
      <w:r>
        <w:rPr>
          <w:rFonts w:hint="eastAsia" w:ascii="楷体" w:hAnsi="楷体" w:eastAsia="楷体" w:cs="楷体"/>
          <w:b w:val="0"/>
          <w:bCs w:val="0"/>
          <w:color w:val="auto"/>
          <w:kern w:val="21"/>
          <w:sz w:val="32"/>
          <w:szCs w:val="32"/>
        </w:rPr>
        <w:t>风险监测</w:t>
      </w:r>
      <w:r>
        <w:rPr>
          <w:rFonts w:hint="eastAsia" w:ascii="楷体" w:hAnsi="楷体" w:eastAsia="楷体" w:cs="楷体"/>
          <w:b w:val="0"/>
          <w:bCs w:val="0"/>
          <w:color w:val="auto"/>
          <w:kern w:val="21"/>
          <w:sz w:val="32"/>
          <w:szCs w:val="32"/>
          <w:lang w:eastAsia="zh-CN"/>
        </w:rPr>
        <w:t>。</w:t>
      </w:r>
      <w:r>
        <w:rPr>
          <w:rFonts w:hint="eastAsia" w:ascii="仿宋" w:hAnsi="仿宋" w:eastAsia="仿宋" w:cs="仿宋"/>
          <w:b w:val="0"/>
          <w:bCs w:val="0"/>
          <w:color w:val="auto"/>
          <w:kern w:val="21"/>
          <w:sz w:val="32"/>
          <w:szCs w:val="32"/>
        </w:rPr>
        <w:t>全省风险监测任务共110批次(含兽用生物制品10批</w:t>
      </w:r>
      <w:r>
        <w:rPr>
          <w:rFonts w:hint="eastAsia" w:ascii="仿宋" w:hAnsi="仿宋" w:eastAsia="仿宋" w:cs="仿宋"/>
          <w:b w:val="0"/>
          <w:bCs w:val="0"/>
          <w:color w:val="auto"/>
          <w:kern w:val="21"/>
          <w:sz w:val="32"/>
          <w:szCs w:val="32"/>
          <w:lang w:val="en-US" w:eastAsia="zh-CN"/>
        </w:rPr>
        <w:t>次</w:t>
      </w:r>
      <w:r>
        <w:rPr>
          <w:rFonts w:hint="eastAsia" w:ascii="仿宋" w:hAnsi="仿宋" w:eastAsia="仿宋" w:cs="仿宋"/>
          <w:b w:val="0"/>
          <w:bCs w:val="0"/>
          <w:color w:val="auto"/>
          <w:kern w:val="21"/>
          <w:sz w:val="32"/>
          <w:szCs w:val="32"/>
        </w:rPr>
        <w:t>)。风险监测从兽药经营和使用环节抽取，每个样品抽取2份，1份用于检测，1份用于留样，每个样品均填写1份风险监测抽样单（附录4）留存备查，不需要进行样品确认。抽样区域应覆盖不少于</w:t>
      </w:r>
      <w:r>
        <w:rPr>
          <w:rFonts w:hint="eastAsia" w:ascii="仿宋" w:hAnsi="仿宋" w:eastAsia="仿宋" w:cs="仿宋"/>
          <w:b w:val="0"/>
          <w:bCs w:val="0"/>
          <w:color w:val="auto"/>
          <w:kern w:val="21"/>
          <w:sz w:val="32"/>
          <w:szCs w:val="32"/>
          <w:lang w:val="en-US" w:eastAsia="zh-CN"/>
        </w:rPr>
        <w:t>5</w:t>
      </w:r>
      <w:r>
        <w:rPr>
          <w:rFonts w:hint="eastAsia" w:ascii="仿宋" w:hAnsi="仿宋" w:eastAsia="仿宋" w:cs="仿宋"/>
          <w:b w:val="0"/>
          <w:bCs w:val="0"/>
          <w:color w:val="auto"/>
          <w:kern w:val="21"/>
          <w:sz w:val="32"/>
          <w:szCs w:val="32"/>
        </w:rPr>
        <w:t>个市</w:t>
      </w:r>
      <w:r>
        <w:rPr>
          <w:rFonts w:hint="eastAsia" w:ascii="仿宋" w:hAnsi="仿宋" w:eastAsia="仿宋" w:cs="仿宋"/>
          <w:b w:val="0"/>
          <w:bCs w:val="0"/>
          <w:color w:val="auto"/>
          <w:kern w:val="21"/>
          <w:sz w:val="32"/>
          <w:szCs w:val="32"/>
          <w:lang w:eastAsia="zh-CN"/>
        </w:rPr>
        <w:t>（</w:t>
      </w:r>
      <w:r>
        <w:rPr>
          <w:rFonts w:hint="eastAsia" w:ascii="仿宋" w:hAnsi="仿宋" w:eastAsia="仿宋" w:cs="仿宋"/>
          <w:b w:val="0"/>
          <w:bCs w:val="0"/>
          <w:color w:val="auto"/>
          <w:kern w:val="21"/>
          <w:sz w:val="32"/>
          <w:szCs w:val="32"/>
          <w:lang w:val="en-US" w:eastAsia="zh-CN"/>
        </w:rPr>
        <w:t>州</w:t>
      </w:r>
      <w:r>
        <w:rPr>
          <w:rFonts w:hint="eastAsia" w:ascii="仿宋" w:hAnsi="仿宋" w:eastAsia="仿宋" w:cs="仿宋"/>
          <w:b w:val="0"/>
          <w:bCs w:val="0"/>
          <w:color w:val="auto"/>
          <w:kern w:val="21"/>
          <w:sz w:val="32"/>
          <w:szCs w:val="32"/>
          <w:lang w:eastAsia="zh-CN"/>
        </w:rPr>
        <w:t>）</w:t>
      </w:r>
      <w:r>
        <w:rPr>
          <w:rFonts w:hint="eastAsia" w:ascii="仿宋" w:hAnsi="仿宋" w:eastAsia="仿宋" w:cs="仿宋"/>
          <w:b w:val="0"/>
          <w:bCs w:val="0"/>
          <w:color w:val="auto"/>
          <w:kern w:val="21"/>
          <w:sz w:val="32"/>
          <w:szCs w:val="32"/>
        </w:rPr>
        <w:t>。购买样品需留存原始购买发票等凭证，并核实二维码追溯情况，对发现的假兽药和非法生产企业应及时报送我</w:t>
      </w:r>
      <w:r>
        <w:rPr>
          <w:rFonts w:hint="eastAsia" w:ascii="仿宋" w:hAnsi="仿宋" w:eastAsia="仿宋" w:cs="仿宋"/>
          <w:b w:val="0"/>
          <w:bCs w:val="0"/>
          <w:color w:val="auto"/>
          <w:kern w:val="21"/>
          <w:sz w:val="32"/>
          <w:szCs w:val="32"/>
          <w:highlight w:val="none"/>
        </w:rPr>
        <w:t>厅。</w:t>
      </w:r>
      <w:r>
        <w:rPr>
          <w:rFonts w:hint="eastAsia" w:ascii="仿宋" w:hAnsi="仿宋" w:eastAsia="仿宋" w:cs="仿宋"/>
          <w:b w:val="0"/>
          <w:bCs w:val="0"/>
          <w:color w:val="auto"/>
          <w:kern w:val="21"/>
          <w:sz w:val="32"/>
          <w:szCs w:val="32"/>
          <w:highlight w:val="none"/>
          <w:lang w:eastAsia="zh-CN"/>
        </w:rPr>
        <w:t>风险监测所有样品均应进行</w:t>
      </w:r>
      <w:r>
        <w:rPr>
          <w:rFonts w:hint="eastAsia" w:ascii="仿宋" w:hAnsi="仿宋" w:eastAsia="仿宋" w:cs="仿宋"/>
          <w:b w:val="0"/>
          <w:bCs w:val="0"/>
          <w:color w:val="auto"/>
          <w:kern w:val="21"/>
          <w:sz w:val="32"/>
          <w:szCs w:val="32"/>
          <w:highlight w:val="none"/>
        </w:rPr>
        <w:t>非法添加物筛查</w:t>
      </w:r>
      <w:r>
        <w:rPr>
          <w:rFonts w:hint="eastAsia" w:ascii="仿宋" w:hAnsi="仿宋" w:eastAsia="仿宋" w:cs="仿宋"/>
          <w:b w:val="0"/>
          <w:bCs w:val="0"/>
          <w:color w:val="auto"/>
          <w:kern w:val="21"/>
          <w:sz w:val="32"/>
          <w:szCs w:val="32"/>
          <w:highlight w:val="none"/>
          <w:lang w:eastAsia="zh-CN"/>
        </w:rPr>
        <w:t>，其他检</w:t>
      </w:r>
      <w:r>
        <w:rPr>
          <w:rFonts w:hint="eastAsia" w:ascii="仿宋" w:hAnsi="仿宋" w:eastAsia="仿宋" w:cs="仿宋"/>
          <w:b w:val="0"/>
          <w:bCs w:val="0"/>
          <w:color w:val="auto"/>
          <w:kern w:val="21"/>
          <w:sz w:val="32"/>
          <w:szCs w:val="32"/>
          <w:highlight w:val="none"/>
          <w:lang w:val="en-US" w:eastAsia="zh-CN"/>
        </w:rPr>
        <w:t>验</w:t>
      </w:r>
      <w:r>
        <w:rPr>
          <w:rFonts w:hint="eastAsia" w:ascii="仿宋" w:hAnsi="仿宋" w:eastAsia="仿宋" w:cs="仿宋"/>
          <w:b w:val="0"/>
          <w:bCs w:val="0"/>
          <w:color w:val="auto"/>
          <w:kern w:val="21"/>
          <w:sz w:val="32"/>
          <w:szCs w:val="32"/>
          <w:highlight w:val="none"/>
          <w:lang w:eastAsia="zh-CN"/>
        </w:rPr>
        <w:t>项目应</w:t>
      </w:r>
      <w:r>
        <w:rPr>
          <w:rFonts w:hint="eastAsia" w:ascii="仿宋" w:hAnsi="仿宋" w:eastAsia="仿宋" w:cs="仿宋"/>
          <w:b w:val="0"/>
          <w:bCs w:val="0"/>
          <w:color w:val="auto"/>
          <w:kern w:val="21"/>
          <w:sz w:val="32"/>
          <w:szCs w:val="32"/>
          <w:highlight w:val="none"/>
          <w:lang w:val="en-US" w:eastAsia="zh-CN"/>
        </w:rPr>
        <w:t>根</w:t>
      </w:r>
      <w:r>
        <w:rPr>
          <w:rFonts w:hint="eastAsia" w:ascii="仿宋" w:hAnsi="仿宋" w:eastAsia="仿宋" w:cs="仿宋"/>
          <w:b w:val="0"/>
          <w:bCs w:val="0"/>
          <w:color w:val="auto"/>
          <w:kern w:val="21"/>
          <w:sz w:val="32"/>
          <w:szCs w:val="32"/>
          <w:highlight w:val="none"/>
          <w:lang w:eastAsia="zh-CN"/>
        </w:rPr>
        <w:t>据具体产品的质量安全风险确定。</w:t>
      </w:r>
      <w:r>
        <w:rPr>
          <w:rFonts w:hint="eastAsia" w:ascii="仿宋" w:hAnsi="仿宋" w:eastAsia="仿宋" w:cs="仿宋"/>
          <w:b w:val="0"/>
          <w:bCs w:val="0"/>
          <w:color w:val="auto"/>
          <w:kern w:val="21"/>
          <w:sz w:val="32"/>
          <w:szCs w:val="32"/>
          <w:highlight w:val="none"/>
        </w:rPr>
        <w:t>风险监测检验任务不需发送检验报告，</w:t>
      </w:r>
      <w:r>
        <w:rPr>
          <w:rFonts w:hint="eastAsia" w:ascii="仿宋" w:hAnsi="仿宋" w:eastAsia="仿宋" w:cs="仿宋"/>
          <w:b w:val="0"/>
          <w:bCs w:val="0"/>
          <w:color w:val="auto"/>
          <w:kern w:val="21"/>
          <w:sz w:val="32"/>
          <w:szCs w:val="32"/>
        </w:rPr>
        <w:t>但应留存不合格检验报告。被抽样单位所在市</w:t>
      </w:r>
      <w:r>
        <w:rPr>
          <w:rFonts w:hint="eastAsia" w:ascii="仿宋" w:hAnsi="仿宋" w:eastAsia="仿宋" w:cs="仿宋"/>
          <w:b w:val="0"/>
          <w:bCs w:val="0"/>
          <w:color w:val="auto"/>
          <w:kern w:val="21"/>
          <w:sz w:val="32"/>
          <w:szCs w:val="32"/>
          <w:lang w:eastAsia="zh-CN"/>
        </w:rPr>
        <w:t>（</w:t>
      </w:r>
      <w:r>
        <w:rPr>
          <w:rFonts w:hint="eastAsia" w:ascii="仿宋" w:hAnsi="仿宋" w:eastAsia="仿宋" w:cs="仿宋"/>
          <w:b w:val="0"/>
          <w:bCs w:val="0"/>
          <w:color w:val="auto"/>
          <w:kern w:val="21"/>
          <w:sz w:val="32"/>
          <w:szCs w:val="32"/>
          <w:lang w:val="en-US" w:eastAsia="zh-CN"/>
        </w:rPr>
        <w:t>州</w:t>
      </w:r>
      <w:r>
        <w:rPr>
          <w:rFonts w:hint="eastAsia" w:ascii="仿宋" w:hAnsi="仿宋" w:eastAsia="仿宋" w:cs="仿宋"/>
          <w:b w:val="0"/>
          <w:bCs w:val="0"/>
          <w:color w:val="auto"/>
          <w:kern w:val="21"/>
          <w:sz w:val="32"/>
          <w:szCs w:val="32"/>
          <w:lang w:eastAsia="zh-CN"/>
        </w:rPr>
        <w:t>）</w:t>
      </w:r>
      <w:r>
        <w:rPr>
          <w:rFonts w:hint="eastAsia" w:ascii="仿宋" w:hAnsi="仿宋" w:eastAsia="仿宋" w:cs="仿宋"/>
          <w:b w:val="0"/>
          <w:bCs w:val="0"/>
          <w:color w:val="auto"/>
          <w:kern w:val="21"/>
          <w:sz w:val="32"/>
          <w:szCs w:val="32"/>
        </w:rPr>
        <w:t>农业农村部门应在收到检验报告后</w:t>
      </w:r>
      <w:r>
        <w:rPr>
          <w:rFonts w:hint="eastAsia" w:ascii="仿宋" w:hAnsi="仿宋" w:eastAsia="仿宋" w:cs="仿宋"/>
          <w:b w:val="0"/>
          <w:bCs w:val="0"/>
          <w:color w:val="auto"/>
          <w:kern w:val="21"/>
          <w:sz w:val="32"/>
          <w:szCs w:val="32"/>
          <w:lang w:eastAsia="zh-CN"/>
        </w:rPr>
        <w:t>及时</w:t>
      </w:r>
      <w:r>
        <w:rPr>
          <w:rFonts w:hint="eastAsia" w:ascii="仿宋" w:hAnsi="仿宋" w:eastAsia="仿宋" w:cs="仿宋"/>
          <w:b w:val="0"/>
          <w:bCs w:val="0"/>
          <w:color w:val="auto"/>
          <w:kern w:val="21"/>
          <w:sz w:val="32"/>
          <w:szCs w:val="32"/>
        </w:rPr>
        <w:t>将不合格检验报告送达被抽样单位，并做好记录、留存凭证。</w:t>
      </w:r>
    </w:p>
    <w:p w14:paraId="2AEAB6EA">
      <w:pPr>
        <w:keepNext w:val="0"/>
        <w:keepLines w:val="0"/>
        <w:pageBreakBefore w:val="0"/>
        <w:widowControl w:val="0"/>
        <w:tabs>
          <w:tab w:val="left" w:pos="720"/>
        </w:tabs>
        <w:kinsoku/>
        <w:wordWrap/>
        <w:overflowPunct w:val="0"/>
        <w:topLinePunct w:val="0"/>
        <w:autoSpaceDE/>
        <w:autoSpaceDN/>
        <w:bidi w:val="0"/>
        <w:adjustRightInd/>
        <w:snapToGrid w:val="0"/>
        <w:spacing w:line="620" w:lineRule="exact"/>
        <w:jc w:val="both"/>
        <w:textAlignment w:val="baseline"/>
        <w:rPr>
          <w:rFonts w:hint="eastAsia" w:ascii="仿宋" w:hAnsi="仿宋" w:eastAsia="仿宋" w:cs="仿宋"/>
          <w:b w:val="0"/>
          <w:bCs w:val="0"/>
          <w:color w:val="auto"/>
          <w:kern w:val="21"/>
          <w:sz w:val="32"/>
          <w:szCs w:val="32"/>
        </w:rPr>
      </w:pPr>
    </w:p>
    <w:p w14:paraId="29646466">
      <w:pPr>
        <w:keepNext w:val="0"/>
        <w:keepLines w:val="0"/>
        <w:pageBreakBefore w:val="0"/>
        <w:widowControl w:val="0"/>
        <w:tabs>
          <w:tab w:val="left" w:pos="720"/>
        </w:tabs>
        <w:kinsoku/>
        <w:wordWrap/>
        <w:overflowPunct w:val="0"/>
        <w:topLinePunct w:val="0"/>
        <w:autoSpaceDE/>
        <w:autoSpaceDN/>
        <w:bidi w:val="0"/>
        <w:adjustRightInd/>
        <w:snapToGrid w:val="0"/>
        <w:spacing w:line="620" w:lineRule="exact"/>
        <w:ind w:firstLine="640" w:firstLineChars="200"/>
        <w:jc w:val="both"/>
        <w:textAlignment w:val="baseline"/>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附</w:t>
      </w:r>
      <w:r>
        <w:rPr>
          <w:rFonts w:hint="eastAsia" w:ascii="仿宋" w:hAnsi="仿宋" w:eastAsia="仿宋" w:cs="仿宋"/>
          <w:b w:val="0"/>
          <w:bCs w:val="0"/>
          <w:color w:val="auto"/>
          <w:kern w:val="21"/>
          <w:sz w:val="32"/>
          <w:szCs w:val="32"/>
          <w:lang w:val="en-US" w:eastAsia="zh-CN"/>
        </w:rPr>
        <w:t>录</w:t>
      </w:r>
      <w:r>
        <w:rPr>
          <w:rFonts w:hint="eastAsia" w:ascii="仿宋" w:hAnsi="仿宋" w:eastAsia="仿宋" w:cs="仿宋"/>
          <w:b w:val="0"/>
          <w:bCs w:val="0"/>
          <w:color w:val="auto"/>
          <w:kern w:val="21"/>
          <w:sz w:val="32"/>
          <w:szCs w:val="32"/>
        </w:rPr>
        <w:t>：1</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2026年全省兽药监督抽检任务分配表</w:t>
      </w:r>
    </w:p>
    <w:p w14:paraId="488EA6E9">
      <w:pPr>
        <w:keepNext w:val="0"/>
        <w:keepLines w:val="0"/>
        <w:pageBreakBefore w:val="0"/>
        <w:widowControl w:val="0"/>
        <w:tabs>
          <w:tab w:val="left" w:pos="720"/>
        </w:tabs>
        <w:kinsoku/>
        <w:wordWrap/>
        <w:overflowPunct w:val="0"/>
        <w:topLinePunct w:val="0"/>
        <w:autoSpaceDE/>
        <w:autoSpaceDN/>
        <w:bidi w:val="0"/>
        <w:adjustRightInd/>
        <w:snapToGrid w:val="0"/>
        <w:spacing w:line="620" w:lineRule="exact"/>
        <w:ind w:left="2056" w:leftChars="760" w:hanging="460" w:hangingChars="144"/>
        <w:jc w:val="both"/>
        <w:textAlignment w:val="baseline"/>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2</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spacing w:val="-6"/>
          <w:kern w:val="21"/>
          <w:sz w:val="32"/>
          <w:szCs w:val="32"/>
        </w:rPr>
        <w:t>2026年第</w:t>
      </w:r>
      <w:r>
        <w:rPr>
          <w:rFonts w:hint="eastAsia" w:ascii="仿宋" w:hAnsi="仿宋" w:eastAsia="仿宋" w:cs="仿宋"/>
          <w:b w:val="0"/>
          <w:bCs w:val="0"/>
          <w:color w:val="auto"/>
          <w:spacing w:val="-6"/>
          <w:kern w:val="21"/>
          <w:sz w:val="32"/>
          <w:szCs w:val="32"/>
          <w:lang w:val="en-US" w:eastAsia="zh-CN"/>
        </w:rPr>
        <w:t>×</w:t>
      </w:r>
      <w:r>
        <w:rPr>
          <w:rFonts w:hint="eastAsia" w:ascii="仿宋" w:hAnsi="仿宋" w:eastAsia="仿宋" w:cs="仿宋"/>
          <w:b w:val="0"/>
          <w:bCs w:val="0"/>
          <w:color w:val="auto"/>
          <w:spacing w:val="-6"/>
          <w:kern w:val="21"/>
          <w:sz w:val="32"/>
          <w:szCs w:val="32"/>
        </w:rPr>
        <w:t>季度兽药质量监督抽检假兽药/未赋</w:t>
      </w:r>
      <w:r>
        <w:rPr>
          <w:rFonts w:hint="eastAsia" w:ascii="仿宋" w:hAnsi="仿宋" w:eastAsia="仿宋" w:cs="仿宋"/>
          <w:b w:val="0"/>
          <w:bCs w:val="0"/>
          <w:color w:val="auto"/>
          <w:kern w:val="21"/>
          <w:sz w:val="32"/>
          <w:szCs w:val="32"/>
        </w:rPr>
        <w:t>二维码产品汇总表</w:t>
      </w:r>
    </w:p>
    <w:p w14:paraId="580F684E">
      <w:pPr>
        <w:keepNext w:val="0"/>
        <w:keepLines w:val="0"/>
        <w:pageBreakBefore w:val="0"/>
        <w:widowControl w:val="0"/>
        <w:tabs>
          <w:tab w:val="left" w:pos="720"/>
        </w:tabs>
        <w:kinsoku/>
        <w:wordWrap/>
        <w:overflowPunct w:val="0"/>
        <w:topLinePunct w:val="0"/>
        <w:autoSpaceDE/>
        <w:autoSpaceDN/>
        <w:bidi w:val="0"/>
        <w:adjustRightInd/>
        <w:snapToGrid w:val="0"/>
        <w:spacing w:line="620" w:lineRule="exact"/>
        <w:ind w:left="2047" w:leftChars="733" w:hanging="508" w:hangingChars="159"/>
        <w:jc w:val="both"/>
        <w:textAlignment w:val="baseline"/>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3</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spacing w:val="6"/>
          <w:kern w:val="21"/>
          <w:sz w:val="32"/>
          <w:szCs w:val="32"/>
        </w:rPr>
        <w:t>2026年第</w:t>
      </w:r>
      <w:r>
        <w:rPr>
          <w:rFonts w:hint="eastAsia" w:ascii="仿宋" w:hAnsi="仿宋" w:eastAsia="仿宋" w:cs="仿宋"/>
          <w:b w:val="0"/>
          <w:bCs w:val="0"/>
          <w:color w:val="auto"/>
          <w:spacing w:val="6"/>
          <w:kern w:val="21"/>
          <w:sz w:val="32"/>
          <w:szCs w:val="32"/>
          <w:lang w:val="en-US" w:eastAsia="zh-CN"/>
        </w:rPr>
        <w:t>×</w:t>
      </w:r>
      <w:r>
        <w:rPr>
          <w:rFonts w:hint="eastAsia" w:ascii="仿宋" w:hAnsi="仿宋" w:eastAsia="仿宋" w:cs="仿宋"/>
          <w:b w:val="0"/>
          <w:bCs w:val="0"/>
          <w:color w:val="auto"/>
          <w:spacing w:val="6"/>
          <w:kern w:val="21"/>
          <w:sz w:val="32"/>
          <w:szCs w:val="32"/>
        </w:rPr>
        <w:t>季度监督抽检/风险监测报告基本格</w:t>
      </w:r>
      <w:r>
        <w:rPr>
          <w:rFonts w:hint="eastAsia" w:ascii="仿宋" w:hAnsi="仿宋" w:eastAsia="仿宋" w:cs="仿宋"/>
          <w:b w:val="0"/>
          <w:bCs w:val="0"/>
          <w:color w:val="auto"/>
          <w:kern w:val="21"/>
          <w:sz w:val="32"/>
          <w:szCs w:val="32"/>
        </w:rPr>
        <w:t>式和内容</w:t>
      </w:r>
    </w:p>
    <w:p w14:paraId="78EE0D07">
      <w:pPr>
        <w:keepNext w:val="0"/>
        <w:keepLines w:val="0"/>
        <w:pageBreakBefore w:val="0"/>
        <w:widowControl w:val="0"/>
        <w:numPr>
          <w:ilvl w:val="0"/>
          <w:numId w:val="0"/>
        </w:numPr>
        <w:tabs>
          <w:tab w:val="left" w:pos="720"/>
        </w:tabs>
        <w:kinsoku/>
        <w:wordWrap/>
        <w:overflowPunct w:val="0"/>
        <w:topLinePunct w:val="0"/>
        <w:autoSpaceDE/>
        <w:autoSpaceDN/>
        <w:bidi w:val="0"/>
        <w:adjustRightInd/>
        <w:snapToGrid w:val="0"/>
        <w:spacing w:line="620" w:lineRule="exact"/>
        <w:ind w:left="0" w:leftChars="0" w:firstLine="1558" w:firstLineChars="487"/>
        <w:jc w:val="both"/>
        <w:textAlignment w:val="baseline"/>
        <w:rPr>
          <w:rFonts w:hint="eastAsia"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lang w:val="en-US" w:eastAsia="zh-CN"/>
        </w:rPr>
        <w:t>4</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kern w:val="21"/>
          <w:sz w:val="32"/>
          <w:szCs w:val="32"/>
        </w:rPr>
        <w:t>兽药质量风险监测抽样单</w:t>
      </w:r>
    </w:p>
    <w:p w14:paraId="7C4776AB">
      <w:pPr>
        <w:keepNext w:val="0"/>
        <w:keepLines w:val="0"/>
        <w:pageBreakBefore w:val="0"/>
        <w:widowControl w:val="0"/>
        <w:numPr>
          <w:ilvl w:val="0"/>
          <w:numId w:val="0"/>
        </w:numPr>
        <w:tabs>
          <w:tab w:val="left" w:pos="720"/>
        </w:tabs>
        <w:kinsoku/>
        <w:wordWrap/>
        <w:overflowPunct w:val="0"/>
        <w:topLinePunct w:val="0"/>
        <w:autoSpaceDE/>
        <w:autoSpaceDN/>
        <w:bidi w:val="0"/>
        <w:adjustRightInd/>
        <w:snapToGrid w:val="0"/>
        <w:spacing w:line="620" w:lineRule="exact"/>
        <w:ind w:left="0" w:leftChars="0" w:firstLine="1558" w:firstLineChars="487"/>
        <w:jc w:val="both"/>
        <w:textAlignment w:val="baseline"/>
        <w:rPr>
          <w:rFonts w:ascii="仿宋" w:hAnsi="仿宋" w:eastAsia="仿宋" w:cs="仿宋"/>
          <w:b w:val="0"/>
          <w:bCs w:val="0"/>
          <w:color w:val="auto"/>
          <w:kern w:val="21"/>
          <w:sz w:val="32"/>
          <w:szCs w:val="32"/>
        </w:rPr>
      </w:pPr>
      <w:r>
        <w:rPr>
          <w:rFonts w:hint="eastAsia" w:ascii="仿宋" w:hAnsi="仿宋" w:eastAsia="仿宋" w:cs="仿宋"/>
          <w:b w:val="0"/>
          <w:bCs w:val="0"/>
          <w:color w:val="auto"/>
          <w:kern w:val="21"/>
          <w:sz w:val="32"/>
          <w:szCs w:val="32"/>
        </w:rPr>
        <w:t>5</w:t>
      </w:r>
      <w:r>
        <w:rPr>
          <w:rFonts w:hint="eastAsia" w:ascii="仿宋" w:hAnsi="仿宋" w:eastAsia="仿宋" w:cs="仿宋"/>
          <w:color w:val="auto"/>
          <w:kern w:val="21"/>
          <w:sz w:val="32"/>
          <w:szCs w:val="32"/>
          <w:lang w:eastAsia="zh-CN"/>
        </w:rPr>
        <w:t>．</w:t>
      </w:r>
      <w:r>
        <w:rPr>
          <w:rFonts w:hint="eastAsia" w:ascii="仿宋" w:hAnsi="仿宋" w:eastAsia="仿宋" w:cs="仿宋"/>
          <w:b w:val="0"/>
          <w:bCs w:val="0"/>
          <w:color w:val="auto"/>
          <w:spacing w:val="-6"/>
          <w:kern w:val="21"/>
          <w:sz w:val="32"/>
          <w:szCs w:val="32"/>
        </w:rPr>
        <w:t>网络经营环节兽药质量监督抽检具体要求（试行）</w:t>
      </w:r>
    </w:p>
    <w:p w14:paraId="673C35CA">
      <w:pPr>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黑体"/>
          <w:color w:val="auto"/>
          <w:sz w:val="32"/>
          <w:szCs w:val="32"/>
        </w:rPr>
        <w:t>附录</w:t>
      </w:r>
      <w:r>
        <w:rPr>
          <w:rFonts w:hint="eastAsia" w:ascii="仿宋" w:hAnsi="仿宋" w:eastAsia="仿宋" w:cs="仿宋"/>
          <w:color w:val="auto"/>
          <w:sz w:val="32"/>
          <w:szCs w:val="32"/>
        </w:rPr>
        <w:t>1</w:t>
      </w:r>
    </w:p>
    <w:p w14:paraId="7063CDDE">
      <w:pPr>
        <w:keepNext w:val="0"/>
        <w:keepLines w:val="0"/>
        <w:pageBreakBefore w:val="0"/>
        <w:widowControl w:val="0"/>
        <w:kinsoku/>
        <w:wordWrap/>
        <w:overflowPunct/>
        <w:topLinePunct w:val="0"/>
        <w:autoSpaceDE/>
        <w:autoSpaceDN/>
        <w:bidi w:val="0"/>
        <w:adjustRightInd/>
        <w:snapToGrid/>
        <w:spacing w:before="292" w:beforeLines="50" w:after="292" w:afterLines="50" w:line="50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仿宋" w:hAnsi="仿宋" w:eastAsia="仿宋" w:cs="仿宋"/>
          <w:b w:val="0"/>
          <w:bCs/>
          <w:color w:val="auto"/>
          <w:sz w:val="44"/>
          <w:szCs w:val="44"/>
        </w:rPr>
        <w:t>2026</w:t>
      </w:r>
      <w:r>
        <w:rPr>
          <w:rFonts w:hint="eastAsia" w:ascii="方正小标宋_GBK" w:hAnsi="方正小标宋_GBK" w:eastAsia="方正小标宋_GBK" w:cs="方正小标宋_GBK"/>
          <w:b w:val="0"/>
          <w:bCs/>
          <w:color w:val="auto"/>
          <w:sz w:val="44"/>
          <w:szCs w:val="44"/>
        </w:rPr>
        <w:t>年全省兽药监督抽检任务分配表</w:t>
      </w:r>
    </w:p>
    <w:p w14:paraId="70D40740">
      <w:pPr>
        <w:keepNext w:val="0"/>
        <w:keepLines w:val="0"/>
        <w:pageBreakBefore w:val="0"/>
        <w:widowControl w:val="0"/>
        <w:kinsoku/>
        <w:wordWrap/>
        <w:overflowPunct/>
        <w:topLinePunct w:val="0"/>
        <w:autoSpaceDE/>
        <w:autoSpaceDN/>
        <w:bidi w:val="0"/>
        <w:adjustRightInd/>
        <w:snapToGrid w:val="0"/>
        <w:spacing w:line="500" w:lineRule="exact"/>
        <w:ind w:firstLine="7000" w:firstLineChars="2500"/>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rPr>
        <w:t>单位：批次</w:t>
      </w:r>
    </w:p>
    <w:tbl>
      <w:tblPr>
        <w:tblStyle w:val="5"/>
        <w:tblW w:w="8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1"/>
        <w:gridCol w:w="1950"/>
        <w:gridCol w:w="2295"/>
        <w:gridCol w:w="1483"/>
      </w:tblGrid>
      <w:tr w14:paraId="1467D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031" w:type="dxa"/>
            <w:noWrap w:val="0"/>
            <w:vAlign w:val="center"/>
          </w:tcPr>
          <w:p w14:paraId="0FD3BB3C">
            <w:pPr>
              <w:keepNext w:val="0"/>
              <w:keepLines w:val="0"/>
              <w:pageBreakBefore w:val="0"/>
              <w:widowControl w:val="0"/>
              <w:kinsoku/>
              <w:wordWrap/>
              <w:topLinePunct w:val="0"/>
              <w:autoSpaceDE/>
              <w:autoSpaceDN/>
              <w:bidi w:val="0"/>
              <w:snapToGrid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抽样单位</w:t>
            </w:r>
          </w:p>
        </w:tc>
        <w:tc>
          <w:tcPr>
            <w:tcW w:w="1950" w:type="dxa"/>
            <w:noWrap w:val="0"/>
            <w:vAlign w:val="center"/>
          </w:tcPr>
          <w:p w14:paraId="34710FAD">
            <w:pPr>
              <w:keepNext w:val="0"/>
              <w:keepLines w:val="0"/>
              <w:pageBreakBefore w:val="0"/>
              <w:widowControl w:val="0"/>
              <w:kinsoku/>
              <w:wordWrap/>
              <w:topLinePunct w:val="0"/>
              <w:autoSpaceDE/>
              <w:autoSpaceDN/>
              <w:bidi w:val="0"/>
              <w:snapToGrid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抽样任务</w:t>
            </w:r>
          </w:p>
        </w:tc>
        <w:tc>
          <w:tcPr>
            <w:tcW w:w="2295" w:type="dxa"/>
            <w:noWrap w:val="0"/>
            <w:vAlign w:val="center"/>
          </w:tcPr>
          <w:p w14:paraId="5ABCEC9C">
            <w:pPr>
              <w:keepNext w:val="0"/>
              <w:keepLines w:val="0"/>
              <w:pageBreakBefore w:val="0"/>
              <w:widowControl w:val="0"/>
              <w:kinsoku/>
              <w:wordWrap/>
              <w:topLinePunct w:val="0"/>
              <w:autoSpaceDE/>
              <w:autoSpaceDN/>
              <w:bidi w:val="0"/>
              <w:snapToGrid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抽样环节</w:t>
            </w:r>
          </w:p>
        </w:tc>
        <w:tc>
          <w:tcPr>
            <w:tcW w:w="1483" w:type="dxa"/>
            <w:noWrap w:val="0"/>
            <w:vAlign w:val="center"/>
          </w:tcPr>
          <w:p w14:paraId="56854CF8">
            <w:pPr>
              <w:keepNext w:val="0"/>
              <w:keepLines w:val="0"/>
              <w:pageBreakBefore w:val="0"/>
              <w:widowControl w:val="0"/>
              <w:kinsoku/>
              <w:wordWrap/>
              <w:topLinePunct w:val="0"/>
              <w:autoSpaceDE/>
              <w:autoSpaceDN/>
              <w:bidi w:val="0"/>
              <w:snapToGrid w:val="0"/>
              <w:jc w:val="center"/>
              <w:rPr>
                <w:rFonts w:hint="eastAsia" w:ascii="黑体" w:hAnsi="黑体" w:eastAsia="黑体" w:cs="黑体"/>
                <w:color w:val="auto"/>
                <w:sz w:val="24"/>
                <w:szCs w:val="24"/>
              </w:rPr>
            </w:pPr>
            <w:r>
              <w:rPr>
                <w:rFonts w:hint="eastAsia" w:ascii="黑体" w:hAnsi="黑体" w:eastAsia="黑体" w:cs="黑体"/>
                <w:color w:val="auto"/>
                <w:sz w:val="24"/>
                <w:szCs w:val="24"/>
              </w:rPr>
              <w:t>送样时间</w:t>
            </w:r>
          </w:p>
        </w:tc>
      </w:tr>
      <w:tr w14:paraId="162F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7150C64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省兽药监察所</w:t>
            </w:r>
          </w:p>
        </w:tc>
        <w:tc>
          <w:tcPr>
            <w:tcW w:w="1950" w:type="dxa"/>
            <w:noWrap w:val="0"/>
            <w:vAlign w:val="center"/>
          </w:tcPr>
          <w:p w14:paraId="6E4AA88C">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115</w:t>
            </w:r>
          </w:p>
        </w:tc>
        <w:tc>
          <w:tcPr>
            <w:tcW w:w="2295" w:type="dxa"/>
            <w:noWrap w:val="0"/>
            <w:vAlign w:val="center"/>
          </w:tcPr>
          <w:p w14:paraId="3658676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生产企业</w:t>
            </w:r>
          </w:p>
        </w:tc>
        <w:tc>
          <w:tcPr>
            <w:tcW w:w="1483" w:type="dxa"/>
            <w:noWrap w:val="0"/>
            <w:vAlign w:val="center"/>
          </w:tcPr>
          <w:p w14:paraId="32DEBE4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三月</w:t>
            </w:r>
          </w:p>
        </w:tc>
      </w:tr>
      <w:tr w14:paraId="0D4A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41CCC50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省兽药监察所</w:t>
            </w:r>
          </w:p>
        </w:tc>
        <w:tc>
          <w:tcPr>
            <w:tcW w:w="1950" w:type="dxa"/>
            <w:noWrap w:val="0"/>
            <w:vAlign w:val="center"/>
          </w:tcPr>
          <w:p w14:paraId="513D3FE7">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115</w:t>
            </w:r>
          </w:p>
        </w:tc>
        <w:tc>
          <w:tcPr>
            <w:tcW w:w="2295" w:type="dxa"/>
            <w:noWrap w:val="0"/>
            <w:vAlign w:val="center"/>
          </w:tcPr>
          <w:p w14:paraId="5B0C5D31">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生产企业</w:t>
            </w:r>
          </w:p>
        </w:tc>
        <w:tc>
          <w:tcPr>
            <w:tcW w:w="1483" w:type="dxa"/>
            <w:noWrap w:val="0"/>
            <w:vAlign w:val="center"/>
          </w:tcPr>
          <w:p w14:paraId="22C4C55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六月</w:t>
            </w:r>
          </w:p>
        </w:tc>
      </w:tr>
      <w:tr w14:paraId="3883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4782DEE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省兽药监察所</w:t>
            </w:r>
          </w:p>
        </w:tc>
        <w:tc>
          <w:tcPr>
            <w:tcW w:w="1950" w:type="dxa"/>
            <w:noWrap w:val="0"/>
            <w:vAlign w:val="center"/>
          </w:tcPr>
          <w:p w14:paraId="10DA020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50</w:t>
            </w:r>
          </w:p>
        </w:tc>
        <w:tc>
          <w:tcPr>
            <w:tcW w:w="2295" w:type="dxa"/>
            <w:noWrap w:val="0"/>
            <w:vAlign w:val="center"/>
          </w:tcPr>
          <w:p w14:paraId="685C07FE">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生产企业</w:t>
            </w:r>
          </w:p>
        </w:tc>
        <w:tc>
          <w:tcPr>
            <w:tcW w:w="1483" w:type="dxa"/>
            <w:noWrap w:val="0"/>
            <w:vAlign w:val="center"/>
          </w:tcPr>
          <w:p w14:paraId="75C5263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八月</w:t>
            </w:r>
          </w:p>
        </w:tc>
      </w:tr>
      <w:tr w14:paraId="632FB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3DE622A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遂宁市农业农村局</w:t>
            </w:r>
          </w:p>
        </w:tc>
        <w:tc>
          <w:tcPr>
            <w:tcW w:w="1950" w:type="dxa"/>
            <w:noWrap w:val="0"/>
            <w:vAlign w:val="center"/>
          </w:tcPr>
          <w:p w14:paraId="4AC74ED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161962E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59310FC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rPr>
              <w:t>月</w:t>
            </w:r>
          </w:p>
        </w:tc>
      </w:tr>
      <w:tr w14:paraId="022A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40E4ADD3">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宜宾市农业农村局</w:t>
            </w:r>
          </w:p>
        </w:tc>
        <w:tc>
          <w:tcPr>
            <w:tcW w:w="1950" w:type="dxa"/>
            <w:noWrap w:val="0"/>
            <w:vAlign w:val="center"/>
          </w:tcPr>
          <w:p w14:paraId="50241833">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6D14181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21AE3FB6">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rPr>
              <w:t>月</w:t>
            </w:r>
          </w:p>
        </w:tc>
      </w:tr>
      <w:tr w14:paraId="7E1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2255E40E">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南充市农业农村局</w:t>
            </w:r>
          </w:p>
        </w:tc>
        <w:tc>
          <w:tcPr>
            <w:tcW w:w="1950" w:type="dxa"/>
            <w:noWrap w:val="0"/>
            <w:vAlign w:val="center"/>
          </w:tcPr>
          <w:p w14:paraId="235C0003">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73E5389C">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10AB69AE">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四</w:t>
            </w:r>
            <w:r>
              <w:rPr>
                <w:rFonts w:hint="eastAsia" w:ascii="仿宋" w:hAnsi="仿宋" w:eastAsia="仿宋" w:cs="仿宋"/>
                <w:color w:val="auto"/>
                <w:sz w:val="24"/>
                <w:szCs w:val="24"/>
              </w:rPr>
              <w:t>月</w:t>
            </w:r>
          </w:p>
        </w:tc>
      </w:tr>
      <w:tr w14:paraId="710F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717E16B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泸州市农业农村局</w:t>
            </w:r>
          </w:p>
        </w:tc>
        <w:tc>
          <w:tcPr>
            <w:tcW w:w="1950" w:type="dxa"/>
            <w:noWrap w:val="0"/>
            <w:vAlign w:val="center"/>
          </w:tcPr>
          <w:p w14:paraId="4E34D7B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2F1C474F">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353FE525">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月</w:t>
            </w:r>
          </w:p>
        </w:tc>
      </w:tr>
      <w:tr w14:paraId="0642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37F3C81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德阳市农业农村局</w:t>
            </w:r>
          </w:p>
        </w:tc>
        <w:tc>
          <w:tcPr>
            <w:tcW w:w="1950" w:type="dxa"/>
            <w:noWrap w:val="0"/>
            <w:vAlign w:val="center"/>
          </w:tcPr>
          <w:p w14:paraId="76654B1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006AFC9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75040AA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月</w:t>
            </w:r>
          </w:p>
        </w:tc>
      </w:tr>
      <w:tr w14:paraId="636D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350972E5">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绵阳市农业农村局</w:t>
            </w:r>
          </w:p>
        </w:tc>
        <w:tc>
          <w:tcPr>
            <w:tcW w:w="1950" w:type="dxa"/>
            <w:noWrap w:val="0"/>
            <w:vAlign w:val="center"/>
          </w:tcPr>
          <w:p w14:paraId="68E15D45">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2828D22E">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666994EF">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五</w:t>
            </w:r>
            <w:r>
              <w:rPr>
                <w:rFonts w:hint="eastAsia" w:ascii="仿宋" w:hAnsi="仿宋" w:eastAsia="仿宋" w:cs="仿宋"/>
                <w:color w:val="auto"/>
                <w:sz w:val="24"/>
                <w:szCs w:val="24"/>
              </w:rPr>
              <w:t>月</w:t>
            </w:r>
          </w:p>
        </w:tc>
      </w:tr>
      <w:tr w14:paraId="31D9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0755F1C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广元市农业农村局</w:t>
            </w:r>
          </w:p>
        </w:tc>
        <w:tc>
          <w:tcPr>
            <w:tcW w:w="1950" w:type="dxa"/>
            <w:noWrap w:val="0"/>
            <w:vAlign w:val="center"/>
          </w:tcPr>
          <w:p w14:paraId="1BE4106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13CC08A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2C1056C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六</w:t>
            </w:r>
            <w:r>
              <w:rPr>
                <w:rFonts w:hint="eastAsia" w:ascii="仿宋" w:hAnsi="仿宋" w:eastAsia="仿宋" w:cs="仿宋"/>
                <w:color w:val="auto"/>
                <w:sz w:val="24"/>
                <w:szCs w:val="24"/>
              </w:rPr>
              <w:t>月</w:t>
            </w:r>
          </w:p>
        </w:tc>
      </w:tr>
      <w:tr w14:paraId="7266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6B905A46">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成都市农业农村局</w:t>
            </w:r>
          </w:p>
        </w:tc>
        <w:tc>
          <w:tcPr>
            <w:tcW w:w="1950" w:type="dxa"/>
            <w:noWrap w:val="0"/>
            <w:vAlign w:val="center"/>
          </w:tcPr>
          <w:p w14:paraId="06B3F326">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70</w:t>
            </w:r>
          </w:p>
        </w:tc>
        <w:tc>
          <w:tcPr>
            <w:tcW w:w="2295" w:type="dxa"/>
            <w:noWrap w:val="0"/>
            <w:vAlign w:val="center"/>
          </w:tcPr>
          <w:p w14:paraId="43D2554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42A9D1B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六</w:t>
            </w:r>
            <w:r>
              <w:rPr>
                <w:rFonts w:hint="eastAsia" w:ascii="仿宋" w:hAnsi="仿宋" w:eastAsia="仿宋" w:cs="仿宋"/>
                <w:color w:val="auto"/>
                <w:sz w:val="24"/>
                <w:szCs w:val="24"/>
              </w:rPr>
              <w:t>月</w:t>
            </w:r>
          </w:p>
        </w:tc>
      </w:tr>
      <w:tr w14:paraId="59052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53C61DE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内江市农业农村局</w:t>
            </w:r>
          </w:p>
        </w:tc>
        <w:tc>
          <w:tcPr>
            <w:tcW w:w="1950" w:type="dxa"/>
            <w:noWrap w:val="0"/>
            <w:vAlign w:val="center"/>
          </w:tcPr>
          <w:p w14:paraId="73EC5A8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0048360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311F983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六月</w:t>
            </w:r>
          </w:p>
        </w:tc>
      </w:tr>
      <w:tr w14:paraId="70C8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031" w:type="dxa"/>
            <w:noWrap w:val="0"/>
            <w:vAlign w:val="center"/>
          </w:tcPr>
          <w:p w14:paraId="01AF4E67">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乐山市农业农村局</w:t>
            </w:r>
          </w:p>
        </w:tc>
        <w:tc>
          <w:tcPr>
            <w:tcW w:w="1950" w:type="dxa"/>
            <w:noWrap w:val="0"/>
            <w:vAlign w:val="center"/>
          </w:tcPr>
          <w:p w14:paraId="76C86E0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5D157BA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39F947CC">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六月</w:t>
            </w:r>
          </w:p>
        </w:tc>
      </w:tr>
      <w:tr w14:paraId="599B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62B7E5D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攀枝花市农业农村局</w:t>
            </w:r>
          </w:p>
        </w:tc>
        <w:tc>
          <w:tcPr>
            <w:tcW w:w="1950" w:type="dxa"/>
            <w:noWrap w:val="0"/>
            <w:vAlign w:val="center"/>
          </w:tcPr>
          <w:p w14:paraId="2CE6BDE7">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31A9A83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00807DC5">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七</w:t>
            </w:r>
            <w:r>
              <w:rPr>
                <w:rFonts w:hint="eastAsia" w:ascii="仿宋" w:hAnsi="仿宋" w:eastAsia="仿宋" w:cs="仿宋"/>
                <w:color w:val="auto"/>
                <w:sz w:val="24"/>
                <w:szCs w:val="24"/>
              </w:rPr>
              <w:t>月</w:t>
            </w:r>
          </w:p>
        </w:tc>
      </w:tr>
      <w:tr w14:paraId="2F19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27B810C1">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自贡市农业农村局</w:t>
            </w:r>
          </w:p>
        </w:tc>
        <w:tc>
          <w:tcPr>
            <w:tcW w:w="1950" w:type="dxa"/>
            <w:noWrap w:val="0"/>
            <w:vAlign w:val="center"/>
          </w:tcPr>
          <w:p w14:paraId="6632BCC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09941EB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108CF1D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七月</w:t>
            </w:r>
          </w:p>
        </w:tc>
      </w:tr>
      <w:tr w14:paraId="3D6A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4F2EB8D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广安市农业农村局</w:t>
            </w:r>
          </w:p>
        </w:tc>
        <w:tc>
          <w:tcPr>
            <w:tcW w:w="1950" w:type="dxa"/>
            <w:noWrap w:val="0"/>
            <w:vAlign w:val="center"/>
          </w:tcPr>
          <w:p w14:paraId="6826D72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4E3580E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0A8B7F4F">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七月</w:t>
            </w:r>
          </w:p>
        </w:tc>
      </w:tr>
      <w:tr w14:paraId="4582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05ABCFC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达州市农业农村局</w:t>
            </w:r>
          </w:p>
        </w:tc>
        <w:tc>
          <w:tcPr>
            <w:tcW w:w="1950" w:type="dxa"/>
            <w:noWrap w:val="0"/>
            <w:vAlign w:val="center"/>
          </w:tcPr>
          <w:p w14:paraId="5CB5506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1170C1A1">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26FF505B">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八月</w:t>
            </w:r>
          </w:p>
        </w:tc>
      </w:tr>
      <w:tr w14:paraId="2774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278E8FA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巴中市农业农村局</w:t>
            </w:r>
          </w:p>
        </w:tc>
        <w:tc>
          <w:tcPr>
            <w:tcW w:w="1950" w:type="dxa"/>
            <w:noWrap w:val="0"/>
            <w:vAlign w:val="center"/>
          </w:tcPr>
          <w:p w14:paraId="1A2BF4CE">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0483BF9F">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09EDADA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八月</w:t>
            </w:r>
          </w:p>
        </w:tc>
      </w:tr>
      <w:tr w14:paraId="5B9A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2CBF4E9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雅安市农业农村局</w:t>
            </w:r>
          </w:p>
        </w:tc>
        <w:tc>
          <w:tcPr>
            <w:tcW w:w="1950" w:type="dxa"/>
            <w:noWrap w:val="0"/>
            <w:vAlign w:val="center"/>
          </w:tcPr>
          <w:p w14:paraId="271821C3">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3640115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4AEEE95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八月</w:t>
            </w:r>
          </w:p>
        </w:tc>
      </w:tr>
      <w:tr w14:paraId="6200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1D63C66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眉山市农业农村局</w:t>
            </w:r>
          </w:p>
        </w:tc>
        <w:tc>
          <w:tcPr>
            <w:tcW w:w="1950" w:type="dxa"/>
            <w:noWrap w:val="0"/>
            <w:vAlign w:val="center"/>
          </w:tcPr>
          <w:p w14:paraId="5D54A89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2295" w:type="dxa"/>
            <w:noWrap w:val="0"/>
            <w:vAlign w:val="center"/>
          </w:tcPr>
          <w:p w14:paraId="0FAC87B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3B01122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九月</w:t>
            </w:r>
          </w:p>
        </w:tc>
      </w:tr>
      <w:tr w14:paraId="1CC1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26CECB45">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资阳市农业农村局</w:t>
            </w:r>
          </w:p>
        </w:tc>
        <w:tc>
          <w:tcPr>
            <w:tcW w:w="1950" w:type="dxa"/>
            <w:noWrap w:val="0"/>
            <w:vAlign w:val="center"/>
          </w:tcPr>
          <w:p w14:paraId="3D330DD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5A51CF3D">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3F19E8C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九月</w:t>
            </w:r>
          </w:p>
        </w:tc>
      </w:tr>
      <w:tr w14:paraId="694D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67505807">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阿坝州农业农村局</w:t>
            </w:r>
          </w:p>
        </w:tc>
        <w:tc>
          <w:tcPr>
            <w:tcW w:w="1950" w:type="dxa"/>
            <w:noWrap w:val="0"/>
            <w:vAlign w:val="center"/>
          </w:tcPr>
          <w:p w14:paraId="57E34AE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344C3DC1">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01855398">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九月</w:t>
            </w:r>
          </w:p>
        </w:tc>
      </w:tr>
      <w:tr w14:paraId="7B9E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4F335880">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甘孜州农牧农村局</w:t>
            </w:r>
          </w:p>
        </w:tc>
        <w:tc>
          <w:tcPr>
            <w:tcW w:w="1950" w:type="dxa"/>
            <w:noWrap w:val="0"/>
            <w:vAlign w:val="center"/>
          </w:tcPr>
          <w:p w14:paraId="3D5AF8FA">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6DD070A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0B9450B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九月</w:t>
            </w:r>
          </w:p>
        </w:tc>
      </w:tr>
      <w:tr w14:paraId="09E4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3031" w:type="dxa"/>
            <w:noWrap w:val="0"/>
            <w:vAlign w:val="center"/>
          </w:tcPr>
          <w:p w14:paraId="164542B4">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凉山州农业农村局</w:t>
            </w:r>
          </w:p>
        </w:tc>
        <w:tc>
          <w:tcPr>
            <w:tcW w:w="1950" w:type="dxa"/>
            <w:noWrap w:val="0"/>
            <w:vAlign w:val="center"/>
          </w:tcPr>
          <w:p w14:paraId="4AC59499">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2295" w:type="dxa"/>
            <w:noWrap w:val="0"/>
            <w:vAlign w:val="center"/>
          </w:tcPr>
          <w:p w14:paraId="4AA8A032">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经营、使用单位</w:t>
            </w:r>
          </w:p>
        </w:tc>
        <w:tc>
          <w:tcPr>
            <w:tcW w:w="1483" w:type="dxa"/>
            <w:noWrap w:val="0"/>
            <w:vAlign w:val="center"/>
          </w:tcPr>
          <w:p w14:paraId="5BD712C6">
            <w:pPr>
              <w:keepNext w:val="0"/>
              <w:keepLines w:val="0"/>
              <w:pageBreakBefore w:val="0"/>
              <w:widowControl w:val="0"/>
              <w:kinsoku/>
              <w:wordWrap/>
              <w:topLinePunct w:val="0"/>
              <w:autoSpaceDE/>
              <w:autoSpaceDN/>
              <w:bidi w:val="0"/>
              <w:snapToGrid w:val="0"/>
              <w:jc w:val="center"/>
              <w:rPr>
                <w:rFonts w:hint="eastAsia" w:ascii="仿宋" w:hAnsi="仿宋" w:eastAsia="仿宋" w:cs="仿宋"/>
                <w:color w:val="auto"/>
                <w:sz w:val="24"/>
                <w:szCs w:val="24"/>
              </w:rPr>
            </w:pPr>
            <w:r>
              <w:rPr>
                <w:rFonts w:hint="eastAsia" w:ascii="仿宋" w:hAnsi="仿宋" w:eastAsia="仿宋" w:cs="仿宋"/>
                <w:color w:val="auto"/>
                <w:sz w:val="24"/>
                <w:szCs w:val="24"/>
              </w:rPr>
              <w:t>十月</w:t>
            </w:r>
          </w:p>
        </w:tc>
      </w:tr>
    </w:tbl>
    <w:p w14:paraId="4484737A">
      <w:pPr>
        <w:keepNext w:val="0"/>
        <w:keepLines w:val="0"/>
        <w:pageBreakBefore w:val="0"/>
        <w:widowControl w:val="0"/>
        <w:kinsoku/>
        <w:wordWrap/>
        <w:topLinePunct w:val="0"/>
        <w:autoSpaceDE/>
        <w:autoSpaceDN/>
        <w:bidi w:val="0"/>
        <w:jc w:val="both"/>
        <w:rPr>
          <w:rFonts w:eastAsia="黑体"/>
          <w:color w:val="auto"/>
          <w:szCs w:val="32"/>
        </w:rPr>
        <w:sectPr>
          <w:footerReference r:id="rId3" w:type="default"/>
          <w:pgSz w:w="11907" w:h="16840"/>
          <w:pgMar w:top="1701" w:right="1644" w:bottom="1417" w:left="1644" w:header="850" w:footer="1417" w:gutter="0"/>
          <w:pgNumType w:fmt="decimal"/>
          <w:cols w:space="720" w:num="1"/>
          <w:titlePg/>
          <w:rtlGutter w:val="0"/>
          <w:docGrid w:type="lines" w:linePitch="579" w:charSpace="0"/>
        </w:sectPr>
      </w:pPr>
    </w:p>
    <w:p w14:paraId="38F0857E">
      <w:pPr>
        <w:keepNext w:val="0"/>
        <w:keepLines w:val="0"/>
        <w:pageBreakBefore w:val="0"/>
        <w:widowControl w:val="0"/>
        <w:kinsoku/>
        <w:wordWrap/>
        <w:topLinePunct w:val="0"/>
        <w:autoSpaceDE/>
        <w:autoSpaceDN/>
        <w:bidi w:val="0"/>
        <w:adjustRightInd w:val="0"/>
        <w:jc w:val="both"/>
        <w:textAlignment w:val="baseline"/>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附录</w:t>
      </w:r>
      <w:r>
        <w:rPr>
          <w:rFonts w:hint="eastAsia" w:ascii="仿宋" w:hAnsi="仿宋" w:eastAsia="仿宋" w:cs="仿宋"/>
          <w:color w:val="auto"/>
          <w:kern w:val="0"/>
          <w:sz w:val="32"/>
          <w:szCs w:val="32"/>
        </w:rPr>
        <w:t>2</w:t>
      </w:r>
    </w:p>
    <w:p w14:paraId="2F1838C2">
      <w:pPr>
        <w:keepNext w:val="0"/>
        <w:keepLines w:val="0"/>
        <w:pageBreakBefore w:val="0"/>
        <w:widowControl w:val="0"/>
        <w:kinsoku/>
        <w:wordWrap/>
        <w:overflowPunct/>
        <w:topLinePunct w:val="0"/>
        <w:autoSpaceDE/>
        <w:autoSpaceDN/>
        <w:bidi w:val="0"/>
        <w:adjustRightInd/>
        <w:snapToGrid/>
        <w:spacing w:before="293" w:beforeLines="50" w:after="293" w:afterLines="50" w:line="62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仿宋" w:hAnsi="仿宋" w:eastAsia="仿宋" w:cs="仿宋"/>
          <w:b w:val="0"/>
          <w:bCs/>
          <w:color w:val="auto"/>
          <w:sz w:val="44"/>
          <w:szCs w:val="44"/>
        </w:rPr>
        <w:t>2026</w:t>
      </w:r>
      <w:r>
        <w:rPr>
          <w:rFonts w:hint="eastAsia" w:ascii="方正小标宋_GBK" w:hAnsi="方正小标宋_GBK" w:eastAsia="方正小标宋_GBK" w:cs="方正小标宋_GBK"/>
          <w:b w:val="0"/>
          <w:bCs/>
          <w:color w:val="auto"/>
          <w:sz w:val="44"/>
          <w:szCs w:val="44"/>
        </w:rPr>
        <w:t>年第</w:t>
      </w:r>
      <w:r>
        <w:rPr>
          <w:rFonts w:hint="eastAsia" w:ascii="方正小标宋_GBK" w:hAnsi="方正小标宋_GBK" w:eastAsia="方正小标宋_GBK" w:cs="方正小标宋_GBK"/>
          <w:b w:val="0"/>
          <w:bCs/>
          <w:color w:val="auto"/>
          <w:sz w:val="44"/>
          <w:szCs w:val="44"/>
          <w:lang w:val="en-US" w:eastAsia="zh-CN"/>
        </w:rPr>
        <w:t>×</w:t>
      </w:r>
      <w:r>
        <w:rPr>
          <w:rFonts w:hint="eastAsia" w:ascii="方正小标宋_GBK" w:hAnsi="方正小标宋_GBK" w:eastAsia="方正小标宋_GBK" w:cs="方正小标宋_GBK"/>
          <w:b w:val="0"/>
          <w:bCs/>
          <w:color w:val="auto"/>
          <w:sz w:val="44"/>
          <w:szCs w:val="44"/>
        </w:rPr>
        <w:t>季度兽药质量监督抽检假兽药/未赋二维码产品汇总表</w:t>
      </w:r>
    </w:p>
    <w:tbl>
      <w:tblPr>
        <w:tblStyle w:val="5"/>
        <w:tblW w:w="14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225"/>
        <w:gridCol w:w="1225"/>
        <w:gridCol w:w="985"/>
        <w:gridCol w:w="1225"/>
        <w:gridCol w:w="1225"/>
        <w:gridCol w:w="1705"/>
        <w:gridCol w:w="1705"/>
        <w:gridCol w:w="1225"/>
        <w:gridCol w:w="1947"/>
        <w:gridCol w:w="1072"/>
      </w:tblGrid>
      <w:tr w14:paraId="2779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F068F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序号</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E1E6F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抽检环节</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26877B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产品名称</w:t>
            </w:r>
          </w:p>
        </w:tc>
        <w:tc>
          <w:tcPr>
            <w:tcW w:w="985" w:type="dxa"/>
            <w:tcBorders>
              <w:top w:val="single" w:color="auto" w:sz="4" w:space="0"/>
              <w:left w:val="single" w:color="auto" w:sz="4" w:space="0"/>
              <w:bottom w:val="single" w:color="auto" w:sz="4" w:space="0"/>
              <w:right w:val="single" w:color="auto" w:sz="4" w:space="0"/>
            </w:tcBorders>
            <w:noWrap w:val="0"/>
            <w:vAlign w:val="center"/>
          </w:tcPr>
          <w:p w14:paraId="0AE51C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商品名</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767796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兽药类别</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1FC36F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用药类别</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34EF02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标称生产企业</w:t>
            </w:r>
          </w:p>
        </w:tc>
        <w:tc>
          <w:tcPr>
            <w:tcW w:w="1705" w:type="dxa"/>
            <w:tcBorders>
              <w:top w:val="single" w:color="auto" w:sz="4" w:space="0"/>
              <w:left w:val="single" w:color="auto" w:sz="4" w:space="0"/>
              <w:bottom w:val="single" w:color="auto" w:sz="4" w:space="0"/>
              <w:right w:val="single" w:color="auto" w:sz="4" w:space="0"/>
            </w:tcBorders>
            <w:noWrap w:val="0"/>
            <w:vAlign w:val="center"/>
          </w:tcPr>
          <w:p w14:paraId="15B961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产品批准文号</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AC60E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生产批号</w:t>
            </w:r>
          </w:p>
        </w:tc>
        <w:tc>
          <w:tcPr>
            <w:tcW w:w="1947" w:type="dxa"/>
            <w:tcBorders>
              <w:top w:val="single" w:color="auto" w:sz="4" w:space="0"/>
              <w:left w:val="single" w:color="auto" w:sz="4" w:space="0"/>
              <w:bottom w:val="single" w:color="auto" w:sz="4" w:space="0"/>
              <w:right w:val="single" w:color="auto" w:sz="4" w:space="0"/>
            </w:tcBorders>
            <w:noWrap w:val="0"/>
            <w:vAlign w:val="center"/>
          </w:tcPr>
          <w:p w14:paraId="6413B9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被抽样单位名称</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611504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rPr>
              <w:t>备注</w:t>
            </w:r>
          </w:p>
        </w:tc>
      </w:tr>
      <w:tr w14:paraId="2DD4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F89BC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一</w:t>
            </w:r>
          </w:p>
        </w:tc>
        <w:tc>
          <w:tcPr>
            <w:tcW w:w="13539" w:type="dxa"/>
            <w:gridSpan w:val="10"/>
            <w:tcBorders>
              <w:top w:val="single" w:color="auto" w:sz="4" w:space="0"/>
              <w:left w:val="single" w:color="auto" w:sz="4" w:space="0"/>
              <w:bottom w:val="single" w:color="auto" w:sz="4" w:space="0"/>
              <w:right w:val="single" w:color="auto" w:sz="4" w:space="0"/>
            </w:tcBorders>
            <w:noWrap w:val="0"/>
            <w:vAlign w:val="top"/>
          </w:tcPr>
          <w:p w14:paraId="5289B5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假兽药</w:t>
            </w:r>
          </w:p>
        </w:tc>
      </w:tr>
      <w:tr w14:paraId="17CE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16827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405FC2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6A26C8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2E0A95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6304FA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585381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1A39E3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76BCFC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15F7B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13BA11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1D585D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5427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427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369ED3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45C025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1F778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6E6BD2D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F70CC9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188B4E0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432659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A71A7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77688F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636B424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3059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116BC2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w:t>
            </w:r>
          </w:p>
        </w:tc>
        <w:tc>
          <w:tcPr>
            <w:tcW w:w="13539" w:type="dxa"/>
            <w:gridSpan w:val="10"/>
            <w:tcBorders>
              <w:top w:val="single" w:color="auto" w:sz="4" w:space="0"/>
              <w:left w:val="single" w:color="auto" w:sz="4" w:space="0"/>
              <w:bottom w:val="single" w:color="auto" w:sz="4" w:space="0"/>
              <w:right w:val="single" w:color="auto" w:sz="4" w:space="0"/>
            </w:tcBorders>
            <w:noWrap w:val="0"/>
            <w:vAlign w:val="top"/>
          </w:tcPr>
          <w:p w14:paraId="352A33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未赋二维码兽药产品</w:t>
            </w:r>
          </w:p>
        </w:tc>
      </w:tr>
      <w:tr w14:paraId="504E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21EF90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2D8DC2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AC8D27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1171C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E5008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549EE5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10AB6F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762D7A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93B783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359C1B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25A875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26C4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1A60B7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70ECE8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03E2F0B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08C091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2B650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420BC0C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2420D44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7E420BB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6C5BB3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5E61593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4DE9D03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5CE4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6A502E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三</w:t>
            </w:r>
          </w:p>
        </w:tc>
        <w:tc>
          <w:tcPr>
            <w:tcW w:w="13539" w:type="dxa"/>
            <w:gridSpan w:val="10"/>
            <w:tcBorders>
              <w:top w:val="single" w:color="auto" w:sz="4" w:space="0"/>
              <w:left w:val="single" w:color="auto" w:sz="4" w:space="0"/>
              <w:bottom w:val="single" w:color="auto" w:sz="4" w:space="0"/>
              <w:right w:val="single" w:color="auto" w:sz="4" w:space="0"/>
            </w:tcBorders>
            <w:noWrap w:val="0"/>
            <w:vAlign w:val="top"/>
          </w:tcPr>
          <w:p w14:paraId="124B29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二维码无法识读兽药产品</w:t>
            </w:r>
          </w:p>
        </w:tc>
      </w:tr>
      <w:tr w14:paraId="5AC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5998C9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468818E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7045BB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7862484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2AA3A2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3852497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7216661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785DED0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280DFE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185D2AE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2B5E5F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300D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04E09B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282005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480A583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3EDB8FA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028E56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437D37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0592CA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095949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46E0B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63E51DC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565A8E1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747F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762ED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四</w:t>
            </w:r>
          </w:p>
        </w:tc>
        <w:tc>
          <w:tcPr>
            <w:tcW w:w="13539" w:type="dxa"/>
            <w:gridSpan w:val="10"/>
            <w:tcBorders>
              <w:top w:val="single" w:color="auto" w:sz="4" w:space="0"/>
              <w:left w:val="single" w:color="auto" w:sz="4" w:space="0"/>
              <w:bottom w:val="single" w:color="auto" w:sz="4" w:space="0"/>
              <w:right w:val="single" w:color="auto" w:sz="4" w:space="0"/>
            </w:tcBorders>
            <w:noWrap w:val="0"/>
            <w:vAlign w:val="top"/>
          </w:tcPr>
          <w:p w14:paraId="608ED2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查询不到追溯信息兽药产品</w:t>
            </w:r>
          </w:p>
        </w:tc>
      </w:tr>
      <w:tr w14:paraId="2A80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664BEA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p>
        </w:tc>
        <w:tc>
          <w:tcPr>
            <w:tcW w:w="1225" w:type="dxa"/>
            <w:tcBorders>
              <w:top w:val="single" w:color="auto" w:sz="4" w:space="0"/>
              <w:left w:val="single" w:color="auto" w:sz="4" w:space="0"/>
              <w:bottom w:val="single" w:color="auto" w:sz="4" w:space="0"/>
              <w:right w:val="single" w:color="auto" w:sz="4" w:space="0"/>
            </w:tcBorders>
            <w:noWrap w:val="0"/>
            <w:vAlign w:val="top"/>
          </w:tcPr>
          <w:p w14:paraId="622927B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79C866D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top"/>
          </w:tcPr>
          <w:p w14:paraId="6EFA77C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190AFD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01A78A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2CAA6D9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top"/>
          </w:tcPr>
          <w:p w14:paraId="5CBD254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top"/>
          </w:tcPr>
          <w:p w14:paraId="01355B8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top"/>
          </w:tcPr>
          <w:p w14:paraId="70A7F7D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top"/>
          </w:tcPr>
          <w:p w14:paraId="63EEA3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r w14:paraId="5F62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6C95E8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w:t>
            </w:r>
          </w:p>
        </w:tc>
        <w:tc>
          <w:tcPr>
            <w:tcW w:w="1225" w:type="dxa"/>
            <w:tcBorders>
              <w:top w:val="single" w:color="auto" w:sz="4" w:space="0"/>
              <w:left w:val="single" w:color="auto" w:sz="4" w:space="0"/>
              <w:bottom w:val="single" w:color="auto" w:sz="4" w:space="0"/>
              <w:right w:val="single" w:color="auto" w:sz="4" w:space="0"/>
            </w:tcBorders>
            <w:noWrap w:val="0"/>
            <w:vAlign w:val="center"/>
          </w:tcPr>
          <w:p w14:paraId="40C037B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057DFD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985" w:type="dxa"/>
            <w:tcBorders>
              <w:top w:val="single" w:color="auto" w:sz="4" w:space="0"/>
              <w:left w:val="single" w:color="auto" w:sz="4" w:space="0"/>
              <w:bottom w:val="single" w:color="auto" w:sz="4" w:space="0"/>
              <w:right w:val="single" w:color="auto" w:sz="4" w:space="0"/>
            </w:tcBorders>
            <w:noWrap w:val="0"/>
            <w:vAlign w:val="center"/>
          </w:tcPr>
          <w:p w14:paraId="5C5F3D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38CBD6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89555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6802D6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705" w:type="dxa"/>
            <w:tcBorders>
              <w:top w:val="single" w:color="auto" w:sz="4" w:space="0"/>
              <w:left w:val="single" w:color="auto" w:sz="4" w:space="0"/>
              <w:bottom w:val="single" w:color="auto" w:sz="4" w:space="0"/>
              <w:right w:val="single" w:color="auto" w:sz="4" w:space="0"/>
            </w:tcBorders>
            <w:noWrap w:val="0"/>
            <w:vAlign w:val="center"/>
          </w:tcPr>
          <w:p w14:paraId="469FF0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225" w:type="dxa"/>
            <w:tcBorders>
              <w:top w:val="single" w:color="auto" w:sz="4" w:space="0"/>
              <w:left w:val="single" w:color="auto" w:sz="4" w:space="0"/>
              <w:bottom w:val="single" w:color="auto" w:sz="4" w:space="0"/>
              <w:right w:val="single" w:color="auto" w:sz="4" w:space="0"/>
            </w:tcBorders>
            <w:noWrap w:val="0"/>
            <w:vAlign w:val="center"/>
          </w:tcPr>
          <w:p w14:paraId="57BA2D5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947" w:type="dxa"/>
            <w:tcBorders>
              <w:top w:val="single" w:color="auto" w:sz="4" w:space="0"/>
              <w:left w:val="single" w:color="auto" w:sz="4" w:space="0"/>
              <w:bottom w:val="single" w:color="auto" w:sz="4" w:space="0"/>
              <w:right w:val="single" w:color="auto" w:sz="4" w:space="0"/>
            </w:tcBorders>
            <w:noWrap w:val="0"/>
            <w:vAlign w:val="center"/>
          </w:tcPr>
          <w:p w14:paraId="0E201E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A2790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val="0"/>
                <w:bCs w:val="0"/>
                <w:color w:val="auto"/>
                <w:sz w:val="24"/>
                <w:szCs w:val="24"/>
              </w:rPr>
            </w:pPr>
          </w:p>
        </w:tc>
      </w:tr>
    </w:tbl>
    <w:p w14:paraId="04540EC5">
      <w:pPr>
        <w:keepNext w:val="0"/>
        <w:keepLines w:val="0"/>
        <w:pageBreakBefore w:val="0"/>
        <w:widowControl w:val="0"/>
        <w:kinsoku/>
        <w:wordWrap/>
        <w:topLinePunct w:val="0"/>
        <w:autoSpaceDE/>
        <w:autoSpaceDN/>
        <w:bidi w:val="0"/>
        <w:spacing w:line="600" w:lineRule="exact"/>
        <w:jc w:val="both"/>
        <w:rPr>
          <w:rFonts w:eastAsia="黑体"/>
          <w:color w:val="auto"/>
          <w:szCs w:val="32"/>
        </w:rPr>
        <w:sectPr>
          <w:footerReference r:id="rId4" w:type="default"/>
          <w:pgSz w:w="16840" w:h="11907" w:orient="landscape"/>
          <w:pgMar w:top="1701" w:right="1134" w:bottom="1417" w:left="1134" w:header="851" w:footer="1417" w:gutter="0"/>
          <w:pgNumType w:fmt="decimal"/>
          <w:cols w:space="720" w:num="1"/>
          <w:docGrid w:type="linesAndChars" w:linePitch="581" w:charSpace="-2029"/>
        </w:sectPr>
      </w:pPr>
    </w:p>
    <w:p w14:paraId="0112D7F3">
      <w:pPr>
        <w:keepNext w:val="0"/>
        <w:keepLines w:val="0"/>
        <w:pageBreakBefore w:val="0"/>
        <w:widowControl w:val="0"/>
        <w:kinsoku/>
        <w:wordWrap/>
        <w:overflowPunct w:val="0"/>
        <w:topLinePunct w:val="0"/>
        <w:autoSpaceDE/>
        <w:autoSpaceDN/>
        <w:bidi w:val="0"/>
        <w:adjustRightInd w:val="0"/>
        <w:snapToGrid w:val="0"/>
        <w:spacing w:line="620" w:lineRule="exact"/>
        <w:jc w:val="both"/>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附录</w:t>
      </w:r>
      <w:r>
        <w:rPr>
          <w:rFonts w:hint="eastAsia" w:ascii="仿宋" w:hAnsi="仿宋" w:eastAsia="仿宋" w:cs="仿宋"/>
          <w:color w:val="auto"/>
          <w:kern w:val="0"/>
          <w:sz w:val="32"/>
          <w:szCs w:val="32"/>
        </w:rPr>
        <w:t>3</w:t>
      </w:r>
    </w:p>
    <w:p w14:paraId="4C314754">
      <w:pPr>
        <w:keepNext w:val="0"/>
        <w:keepLines w:val="0"/>
        <w:pageBreakBefore w:val="0"/>
        <w:widowControl w:val="0"/>
        <w:kinsoku/>
        <w:wordWrap/>
        <w:topLinePunct w:val="0"/>
        <w:autoSpaceDE/>
        <w:autoSpaceDN/>
        <w:bidi w:val="0"/>
        <w:spacing w:line="620" w:lineRule="exact"/>
        <w:jc w:val="center"/>
        <w:rPr>
          <w:rFonts w:hint="eastAsia" w:ascii="仿宋" w:hAnsi="仿宋" w:eastAsia="仿宋" w:cs="仿宋"/>
          <w:b w:val="0"/>
          <w:bCs/>
          <w:color w:val="auto"/>
          <w:sz w:val="44"/>
          <w:szCs w:val="44"/>
        </w:rPr>
      </w:pPr>
    </w:p>
    <w:p w14:paraId="5C67CFE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仿宋" w:hAnsi="仿宋" w:eastAsia="仿宋" w:cs="仿宋"/>
          <w:b w:val="0"/>
          <w:bCs/>
          <w:color w:val="auto"/>
          <w:sz w:val="44"/>
          <w:szCs w:val="44"/>
        </w:rPr>
        <w:t>2026</w:t>
      </w:r>
      <w:r>
        <w:rPr>
          <w:rFonts w:hint="eastAsia" w:ascii="方正小标宋_GBK" w:hAnsi="方正小标宋_GBK" w:eastAsia="方正小标宋_GBK" w:cs="方正小标宋_GBK"/>
          <w:b w:val="0"/>
          <w:bCs/>
          <w:color w:val="auto"/>
          <w:sz w:val="44"/>
          <w:szCs w:val="44"/>
        </w:rPr>
        <w:t>年第</w:t>
      </w:r>
      <w:r>
        <w:rPr>
          <w:rFonts w:hint="eastAsia" w:ascii="方正小标宋_GBK" w:hAnsi="方正小标宋_GBK" w:eastAsia="方正小标宋_GBK" w:cs="方正小标宋_GBK"/>
          <w:b w:val="0"/>
          <w:bCs/>
          <w:color w:val="auto"/>
          <w:sz w:val="44"/>
          <w:szCs w:val="44"/>
          <w:lang w:val="en-US" w:eastAsia="zh-CN"/>
        </w:rPr>
        <w:t>×</w:t>
      </w:r>
      <w:r>
        <w:rPr>
          <w:rFonts w:hint="eastAsia" w:ascii="方正小标宋_GBK" w:hAnsi="方正小标宋_GBK" w:eastAsia="方正小标宋_GBK" w:cs="方正小标宋_GBK"/>
          <w:b w:val="0"/>
          <w:bCs/>
          <w:color w:val="auto"/>
          <w:sz w:val="44"/>
          <w:szCs w:val="44"/>
        </w:rPr>
        <w:t>季度监督抽检/风险监测报告</w:t>
      </w:r>
    </w:p>
    <w:p w14:paraId="0D44E19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基本格式和内容</w:t>
      </w:r>
    </w:p>
    <w:p w14:paraId="1CEAFF30">
      <w:pPr>
        <w:pStyle w:val="4"/>
        <w:keepNext w:val="0"/>
        <w:keepLines w:val="0"/>
        <w:pageBreakBefore w:val="0"/>
        <w:widowControl w:val="0"/>
        <w:kinsoku/>
        <w:wordWrap/>
        <w:topLinePunct w:val="0"/>
        <w:autoSpaceDE/>
        <w:autoSpaceDN/>
        <w:bidi w:val="0"/>
        <w:ind w:firstLine="640"/>
        <w:jc w:val="both"/>
        <w:rPr>
          <w:rFonts w:ascii="黑体" w:eastAsia="黑体" w:cs="黑体"/>
          <w:color w:val="auto"/>
          <w:sz w:val="32"/>
          <w:szCs w:val="32"/>
        </w:rPr>
      </w:pPr>
    </w:p>
    <w:p w14:paraId="68CEB136">
      <w:pPr>
        <w:keepNext w:val="0"/>
        <w:keepLines w:val="0"/>
        <w:pageBreakBefore w:val="0"/>
        <w:widowControl w:val="0"/>
        <w:numPr>
          <w:ilvl w:val="0"/>
          <w:numId w:val="0"/>
        </w:numPr>
        <w:kinsoku/>
        <w:wordWrap/>
        <w:overflowPunct/>
        <w:topLinePunct w:val="0"/>
        <w:autoSpaceDE/>
        <w:autoSpaceDN/>
        <w:bidi w:val="0"/>
        <w:adjustRightInd w:val="0"/>
        <w:snapToGrid w:val="0"/>
        <w:spacing w:line="620" w:lineRule="exact"/>
        <w:ind w:firstLine="622"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一、总体情况</w:t>
      </w:r>
    </w:p>
    <w:p w14:paraId="2FE939F3">
      <w:pPr>
        <w:pStyle w:val="4"/>
        <w:keepNext w:val="0"/>
        <w:keepLines w:val="0"/>
        <w:pageBreakBefore w:val="0"/>
        <w:widowControl w:val="0"/>
        <w:kinsoku/>
        <w:wordWrap/>
        <w:overflowPunct/>
        <w:topLinePunct w:val="0"/>
        <w:autoSpaceDE/>
        <w:autoSpaceDN/>
        <w:bidi w:val="0"/>
        <w:adjustRightInd/>
        <w:snapToGrid/>
        <w:spacing w:line="620" w:lineRule="exact"/>
        <w:ind w:firstLine="622" w:firstLineChars="2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具体阐述本季度抽检基本情况，重点对本季度抽检数量、非法添加药物筛查情况、检验项目情况和不合格样品检验结果确认情况进行说明。</w:t>
      </w:r>
    </w:p>
    <w:p w14:paraId="5417C031">
      <w:pPr>
        <w:pStyle w:val="4"/>
        <w:keepNext w:val="0"/>
        <w:keepLines w:val="0"/>
        <w:pageBreakBefore w:val="0"/>
        <w:widowControl w:val="0"/>
        <w:kinsoku/>
        <w:wordWrap/>
        <w:overflowPunct/>
        <w:topLinePunct w:val="0"/>
        <w:autoSpaceDE/>
        <w:autoSpaceDN/>
        <w:bidi w:val="0"/>
        <w:spacing w:line="620" w:lineRule="exact"/>
        <w:ind w:firstLine="640"/>
        <w:jc w:val="both"/>
        <w:textAlignment w:val="auto"/>
        <w:rPr>
          <w:color w:val="auto"/>
        </w:rPr>
      </w:pPr>
      <w:r>
        <w:rPr>
          <w:rFonts w:ascii="黑体" w:eastAsia="黑体" w:cs="黑体"/>
          <w:color w:val="auto"/>
          <w:sz w:val="32"/>
          <w:szCs w:val="32"/>
        </w:rPr>
        <w:t>二、抽检结果分析</w:t>
      </w:r>
    </w:p>
    <w:p w14:paraId="2208FABB">
      <w:pPr>
        <w:pStyle w:val="4"/>
        <w:keepNext w:val="0"/>
        <w:keepLines w:val="0"/>
        <w:pageBreakBefore w:val="0"/>
        <w:widowControl w:val="0"/>
        <w:kinsoku/>
        <w:wordWrap/>
        <w:overflowPunct/>
        <w:topLinePunct w:val="0"/>
        <w:autoSpaceDE/>
        <w:autoSpaceDN/>
        <w:bidi w:val="0"/>
        <w:spacing w:line="620" w:lineRule="exact"/>
        <w:ind w:firstLine="640"/>
        <w:jc w:val="both"/>
        <w:textAlignment w:val="auto"/>
        <w:rPr>
          <w:rFonts w:hint="eastAsia" w:ascii="仿宋" w:hAnsi="仿宋" w:eastAsia="仿宋" w:cs="仿宋"/>
          <w:color w:val="auto"/>
          <w:sz w:val="32"/>
          <w:szCs w:val="32"/>
        </w:rPr>
      </w:pPr>
      <w:r>
        <w:rPr>
          <w:rFonts w:hint="eastAsia" w:ascii="楷体" w:hAnsi="楷体" w:eastAsia="楷体" w:cs="楷体"/>
          <w:b w:val="0"/>
          <w:bCs/>
          <w:kern w:val="2"/>
          <w:sz w:val="32"/>
          <w:szCs w:val="29"/>
          <w:lang w:val="en-US" w:eastAsia="zh-CN" w:bidi="ar-SA"/>
        </w:rPr>
        <w:t>（一）产品来源分析：</w:t>
      </w:r>
      <w:r>
        <w:rPr>
          <w:rFonts w:hint="default" w:ascii="仿宋" w:hAnsi="仿宋" w:eastAsia="仿宋" w:cs="仿宋"/>
          <w:color w:val="auto"/>
          <w:sz w:val="32"/>
          <w:szCs w:val="32"/>
        </w:rPr>
        <w:t>对本季度抽检产品和不合格产品的来源进行分析。</w:t>
      </w:r>
    </w:p>
    <w:p w14:paraId="049305EA">
      <w:pPr>
        <w:pStyle w:val="4"/>
        <w:keepNext w:val="0"/>
        <w:keepLines w:val="0"/>
        <w:pageBreakBefore w:val="0"/>
        <w:widowControl w:val="0"/>
        <w:kinsoku/>
        <w:wordWrap/>
        <w:overflowPunct/>
        <w:topLinePunct w:val="0"/>
        <w:autoSpaceDE/>
        <w:autoSpaceDN/>
        <w:bidi w:val="0"/>
        <w:spacing w:line="620" w:lineRule="exact"/>
        <w:ind w:firstLine="640"/>
        <w:jc w:val="both"/>
        <w:textAlignment w:val="auto"/>
        <w:rPr>
          <w:rFonts w:hint="eastAsia" w:ascii="仿宋" w:hAnsi="仿宋" w:eastAsia="仿宋" w:cs="仿宋"/>
          <w:color w:val="auto"/>
          <w:sz w:val="32"/>
          <w:szCs w:val="32"/>
        </w:rPr>
      </w:pPr>
      <w:r>
        <w:rPr>
          <w:rFonts w:hint="eastAsia" w:ascii="楷体" w:hAnsi="楷体" w:eastAsia="楷体" w:cs="楷体"/>
          <w:b w:val="0"/>
          <w:bCs/>
          <w:kern w:val="2"/>
          <w:sz w:val="32"/>
          <w:szCs w:val="29"/>
          <w:lang w:val="en-US" w:eastAsia="zh-CN" w:bidi="ar-SA"/>
        </w:rPr>
        <w:t>（二）产品类别分析：</w:t>
      </w:r>
      <w:r>
        <w:rPr>
          <w:rFonts w:hint="default" w:ascii="仿宋" w:hAnsi="仿宋" w:eastAsia="仿宋" w:cs="仿宋"/>
          <w:color w:val="auto"/>
          <w:sz w:val="32"/>
          <w:szCs w:val="32"/>
        </w:rPr>
        <w:t>对化药类产品、抗生素类产品、中药类产品和其他类产品的抽检比例和不合格情况进行分析，对兽用抗菌药、蛋鸡用兽药、水产用兽药、宠物用兽药、进口兽药抽检情况进行单独分析。</w:t>
      </w:r>
    </w:p>
    <w:p w14:paraId="33C48211">
      <w:pPr>
        <w:pStyle w:val="4"/>
        <w:keepNext w:val="0"/>
        <w:keepLines w:val="0"/>
        <w:pageBreakBefore w:val="0"/>
        <w:widowControl w:val="0"/>
        <w:kinsoku/>
        <w:wordWrap/>
        <w:overflowPunct/>
        <w:topLinePunct w:val="0"/>
        <w:autoSpaceDE/>
        <w:autoSpaceDN/>
        <w:bidi w:val="0"/>
        <w:spacing w:line="620" w:lineRule="exact"/>
        <w:ind w:firstLine="640"/>
        <w:jc w:val="both"/>
        <w:textAlignment w:val="auto"/>
        <w:rPr>
          <w:rFonts w:hint="default" w:ascii="仿宋" w:hAnsi="仿宋" w:eastAsia="仿宋" w:cs="仿宋"/>
          <w:color w:val="auto"/>
          <w:sz w:val="32"/>
          <w:szCs w:val="32"/>
        </w:rPr>
      </w:pPr>
      <w:r>
        <w:rPr>
          <w:rFonts w:hint="eastAsia" w:ascii="楷体" w:hAnsi="楷体" w:eastAsia="楷体" w:cs="楷体"/>
          <w:b w:val="0"/>
          <w:bCs/>
          <w:kern w:val="2"/>
          <w:sz w:val="32"/>
          <w:szCs w:val="29"/>
          <w:lang w:val="en-US" w:eastAsia="zh-CN" w:bidi="ar-SA"/>
        </w:rPr>
        <w:t>（三）抽检环节分析</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rPr>
        <w:t>对生产环节、经营环节和使用环节的抽检数量、比例和不合格情况进行分析，对网络经营环节进行单独分析。</w:t>
      </w:r>
    </w:p>
    <w:p w14:paraId="7662F939">
      <w:pPr>
        <w:pStyle w:val="4"/>
        <w:keepNext w:val="0"/>
        <w:keepLines w:val="0"/>
        <w:pageBreakBefore w:val="0"/>
        <w:widowControl w:val="0"/>
        <w:kinsoku/>
        <w:wordWrap/>
        <w:overflowPunct/>
        <w:topLinePunct w:val="0"/>
        <w:autoSpaceDE/>
        <w:autoSpaceDN/>
        <w:bidi w:val="0"/>
        <w:spacing w:line="620" w:lineRule="exact"/>
        <w:ind w:firstLine="640"/>
        <w:jc w:val="both"/>
        <w:textAlignment w:val="auto"/>
        <w:rPr>
          <w:rFonts w:hint="default" w:ascii="仿宋" w:hAnsi="仿宋" w:eastAsia="仿宋" w:cs="仿宋"/>
          <w:color w:val="auto"/>
          <w:sz w:val="32"/>
          <w:szCs w:val="32"/>
        </w:rPr>
      </w:pPr>
      <w:r>
        <w:rPr>
          <w:rFonts w:hint="eastAsia" w:ascii="楷体" w:hAnsi="楷体" w:eastAsia="楷体" w:cs="楷体"/>
          <w:b w:val="0"/>
          <w:bCs/>
          <w:kern w:val="2"/>
          <w:sz w:val="32"/>
          <w:szCs w:val="29"/>
          <w:lang w:val="en-US" w:eastAsia="zh-CN" w:bidi="ar-SA"/>
        </w:rPr>
        <w:t>（四）不合格项目情况：</w:t>
      </w:r>
      <w:r>
        <w:rPr>
          <w:rFonts w:hint="default" w:ascii="仿宋" w:hAnsi="仿宋" w:eastAsia="仿宋" w:cs="仿宋"/>
          <w:color w:val="auto"/>
          <w:sz w:val="32"/>
          <w:szCs w:val="32"/>
        </w:rPr>
        <w:t>对不合格产品的具体不合格项目情况进行描述，对较为集中的不合格项目进行原因分析。</w:t>
      </w:r>
    </w:p>
    <w:p w14:paraId="1A9DCD1E">
      <w:pPr>
        <w:keepNext w:val="0"/>
        <w:keepLines w:val="0"/>
        <w:pageBreakBefore w:val="0"/>
        <w:widowControl w:val="0"/>
        <w:kinsoku/>
        <w:wordWrap/>
        <w:topLinePunct w:val="0"/>
        <w:autoSpaceDE/>
        <w:autoSpaceDN/>
        <w:bidi w:val="0"/>
        <w:jc w:val="both"/>
        <w:rPr>
          <w:rFonts w:hint="eastAsia" w:ascii="黑体" w:hAnsi="黑体" w:eastAsia="黑体" w:cs="黑体"/>
          <w:color w:val="auto"/>
          <w:sz w:val="32"/>
          <w:szCs w:val="32"/>
        </w:rPr>
      </w:pPr>
      <w:r>
        <w:rPr>
          <w:rFonts w:hint="eastAsia" w:ascii="黑体" w:hAnsi="黑体" w:eastAsia="黑体" w:cs="黑体"/>
          <w:color w:val="auto"/>
          <w:sz w:val="32"/>
          <w:szCs w:val="32"/>
        </w:rPr>
        <w:t>附录</w:t>
      </w:r>
      <w:r>
        <w:rPr>
          <w:rFonts w:hint="eastAsia" w:ascii="仿宋" w:hAnsi="仿宋" w:eastAsia="仿宋" w:cs="仿宋"/>
          <w:color w:val="auto"/>
          <w:sz w:val="32"/>
          <w:szCs w:val="32"/>
        </w:rPr>
        <w:t>4</w:t>
      </w:r>
    </w:p>
    <w:p w14:paraId="350B5346">
      <w:pPr>
        <w:keepNext w:val="0"/>
        <w:keepLines w:val="0"/>
        <w:pageBreakBefore w:val="0"/>
        <w:widowControl w:val="0"/>
        <w:kinsoku/>
        <w:wordWrap/>
        <w:topLinePunct w:val="0"/>
        <w:autoSpaceDE/>
        <w:autoSpaceDN/>
        <w:bidi w:val="0"/>
        <w:spacing w:line="620" w:lineRule="exact"/>
        <w:jc w:val="center"/>
        <w:rPr>
          <w:rFonts w:hint="eastAsia" w:ascii="方正小标宋_GBK" w:hAnsi="方正小标宋_GBK" w:eastAsia="方正小标宋_GBK" w:cs="方正小标宋_GBK"/>
          <w:b w:val="0"/>
          <w:bCs/>
          <w:color w:val="auto"/>
          <w:sz w:val="44"/>
          <w:szCs w:val="44"/>
        </w:rPr>
      </w:pPr>
    </w:p>
    <w:p w14:paraId="350442CA">
      <w:pPr>
        <w:keepNext w:val="0"/>
        <w:keepLines w:val="0"/>
        <w:pageBreakBefore w:val="0"/>
        <w:widowControl w:val="0"/>
        <w:kinsoku/>
        <w:wordWrap/>
        <w:topLinePunct w:val="0"/>
        <w:autoSpaceDE/>
        <w:autoSpaceDN/>
        <w:bidi w:val="0"/>
        <w:spacing w:line="62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兽药质量风险监测抽样单</w:t>
      </w:r>
    </w:p>
    <w:p w14:paraId="38BBB4EF">
      <w:pPr>
        <w:keepNext w:val="0"/>
        <w:keepLines w:val="0"/>
        <w:pageBreakBefore w:val="0"/>
        <w:widowControl w:val="0"/>
        <w:kinsoku/>
        <w:wordWrap/>
        <w:topLinePunct w:val="0"/>
        <w:autoSpaceDE/>
        <w:autoSpaceDN/>
        <w:bidi w:val="0"/>
        <w:jc w:val="both"/>
        <w:rPr>
          <w:color w:val="auto"/>
          <w:sz w:val="28"/>
          <w:szCs w:val="28"/>
        </w:rPr>
      </w:pPr>
    </w:p>
    <w:p w14:paraId="661DEB52">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检品编号：                         抽样日期：      年  月  日</w:t>
      </w:r>
    </w:p>
    <w:p w14:paraId="1D5D471D">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32"/>
          <w:szCs w:val="22"/>
        </w:rPr>
        <mc:AlternateContent>
          <mc:Choice Requires="wps">
            <w:drawing>
              <wp:anchor distT="0" distB="0" distL="114300" distR="114300" simplePos="0" relativeHeight="251659264" behindDoc="0" locked="0" layoutInCell="1" allowOverlap="1">
                <wp:simplePos x="0" y="0"/>
                <wp:positionH relativeFrom="column">
                  <wp:posOffset>45720</wp:posOffset>
                </wp:positionH>
                <wp:positionV relativeFrom="paragraph">
                  <wp:posOffset>212725</wp:posOffset>
                </wp:positionV>
                <wp:extent cx="52578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6pt;margin-top:16.75pt;height:0pt;width:414pt;z-index:251659264;mso-width-relative:page;mso-height-relative:page;" filled="f" stroked="t" coordsize="21600,21600" o:gfxdata="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b1gw0wAAAAcBAAAPAAAAAAAAAAEAIAAAACIAAABkcnMvZG93bnJldi54bWxQSwEC&#10;FAAUAAAACACHTuJAztPFI/kBAADyAwAADgAAAAAAAAABACAAAAAiAQAAZHJzL2Uyb0RvYy54bWxQ&#10;SwUGAAAAAAYABgBZAQAAjQUAAAAA&#10;">
                <v:fill on="f" focussize="0,0"/>
                <v:stroke color="#000000" joinstyle="round"/>
                <v:imagedata o:title=""/>
                <o:lock v:ext="edit" aspectratio="f"/>
              </v:line>
            </w:pict>
          </mc:Fallback>
        </mc:AlternateContent>
      </w:r>
    </w:p>
    <w:p w14:paraId="4CFA8958">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抽检环节：经营环节□    使用环节□</w:t>
      </w:r>
    </w:p>
    <w:p w14:paraId="602CA0CD">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兽药名称：                            商 品 名：</w:t>
      </w:r>
    </w:p>
    <w:p w14:paraId="57884EB2">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兽药类别：化学药品□    兽用抗生素□  兽用中药□  其他兽药□</w:t>
      </w:r>
    </w:p>
    <w:p w14:paraId="4EEF94C6">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用药类别：畜禽用兽药□  水产用兽药□  蚕用兽药□  蜂用兽药□</w:t>
      </w:r>
    </w:p>
    <w:p w14:paraId="2E6191EE">
      <w:pPr>
        <w:keepNext w:val="0"/>
        <w:keepLines w:val="0"/>
        <w:pageBreakBefore w:val="0"/>
        <w:widowControl w:val="0"/>
        <w:kinsoku/>
        <w:wordWrap/>
        <w:topLinePunct w:val="0"/>
        <w:autoSpaceDE/>
        <w:autoSpaceDN/>
        <w:bidi w:val="0"/>
        <w:ind w:firstLine="1355" w:firstLineChars="500"/>
        <w:jc w:val="both"/>
        <w:rPr>
          <w:rFonts w:hint="eastAsia" w:ascii="仿宋" w:hAnsi="仿宋" w:eastAsia="仿宋" w:cs="仿宋"/>
          <w:color w:val="auto"/>
          <w:sz w:val="28"/>
          <w:szCs w:val="28"/>
        </w:rPr>
      </w:pPr>
      <w:r>
        <w:rPr>
          <w:rFonts w:hint="eastAsia" w:ascii="仿宋" w:hAnsi="仿宋" w:eastAsia="仿宋" w:cs="仿宋"/>
          <w:color w:val="auto"/>
          <w:sz w:val="28"/>
          <w:szCs w:val="28"/>
        </w:rPr>
        <w:t xml:space="preserve">宠物用兽药□  </w:t>
      </w:r>
    </w:p>
    <w:p w14:paraId="67EB2B19">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标称生产企业名称：</w:t>
      </w:r>
    </w:p>
    <w:p w14:paraId="370EB46F">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标称生产企业地址：       省（自治区、直辖市）      县（市、区）</w:t>
      </w:r>
    </w:p>
    <w:p w14:paraId="1A44F93D">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兽药产品批准文号：                    生产批号：</w:t>
      </w:r>
    </w:p>
    <w:p w14:paraId="2B320145">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兽药追溯二维码：是否标示：有□，无□；能否追溯：能□，不能□</w:t>
      </w:r>
    </w:p>
    <w:p w14:paraId="751FC895">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被抽样单位名称：</w:t>
      </w:r>
    </w:p>
    <w:p w14:paraId="20FB37EC">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被抽样单位地址：        省（自治区、直辖市）      县（市、区）</w:t>
      </w:r>
    </w:p>
    <w:p w14:paraId="72F2196A">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 xml:space="preserve">备注：网络平台电商□  进口兽药□  </w:t>
      </w:r>
    </w:p>
    <w:p w14:paraId="3C880B71">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p>
    <w:p w14:paraId="270C3264">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32"/>
          <w:szCs w:val="22"/>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215900</wp:posOffset>
                </wp:positionV>
                <wp:extent cx="53721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3721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6pt;margin-top:17pt;height:0pt;width:423pt;z-index:251660288;mso-width-relative:page;mso-height-relative:page;" filled="f" stroked="t" coordsize="21600,21600" o:gfxdata="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H9Z4tQAAAAHAQAADwAAAAAAAAABACAAAAAiAAAAZHJzL2Rvd25yZXYueG1sUEsB&#10;AhQAFAAAAAgAh07iQLAUNG/5AQAA8gMAAA4AAAAAAAAAAQAgAAAAIwEAAGRycy9lMm9Eb2MueG1s&#10;UEsFBgAAAAAGAAYAWQEAAI4FAAAAAA==&#10;">
                <v:fill on="f" focussize="0,0"/>
                <v:stroke color="#000000" joinstyle="round"/>
                <v:imagedata o:title=""/>
                <o:lock v:ext="edit" aspectratio="f"/>
              </v:line>
            </w:pict>
          </mc:Fallback>
        </mc:AlternateContent>
      </w:r>
    </w:p>
    <w:p w14:paraId="4BEF29F9">
      <w:pPr>
        <w:keepNext w:val="0"/>
        <w:keepLines w:val="0"/>
        <w:pageBreakBefore w:val="0"/>
        <w:widowControl w:val="0"/>
        <w:kinsoku/>
        <w:wordWrap/>
        <w:topLinePunct w:val="0"/>
        <w:autoSpaceDE/>
        <w:autoSpaceDN/>
        <w:bidi w:val="0"/>
        <w:jc w:val="both"/>
        <w:rPr>
          <w:rFonts w:hint="eastAsia" w:ascii="仿宋" w:hAnsi="仿宋" w:eastAsia="仿宋" w:cs="仿宋"/>
          <w:color w:val="auto"/>
          <w:sz w:val="28"/>
          <w:szCs w:val="28"/>
        </w:rPr>
      </w:pPr>
      <w:r>
        <w:rPr>
          <w:rFonts w:hint="eastAsia" w:ascii="仿宋" w:hAnsi="仿宋" w:eastAsia="仿宋" w:cs="仿宋"/>
          <w:color w:val="auto"/>
          <w:sz w:val="28"/>
          <w:szCs w:val="28"/>
        </w:rPr>
        <w:t>抽样人签名：                          抽样单位：</w:t>
      </w:r>
    </w:p>
    <w:p w14:paraId="24E37519">
      <w:pPr>
        <w:keepNext w:val="0"/>
        <w:keepLines w:val="0"/>
        <w:pageBreakBefore w:val="0"/>
        <w:widowControl w:val="0"/>
        <w:kinsoku/>
        <w:wordWrap/>
        <w:topLinePunct w:val="0"/>
        <w:autoSpaceDE/>
        <w:autoSpaceDN/>
        <w:bidi w:val="0"/>
        <w:ind w:firstLine="6369" w:firstLineChars="2350"/>
        <w:jc w:val="both"/>
        <w:rPr>
          <w:rFonts w:hint="eastAsia" w:ascii="仿宋" w:hAnsi="仿宋" w:eastAsia="仿宋" w:cs="仿宋"/>
          <w:color w:val="auto"/>
          <w:sz w:val="28"/>
          <w:szCs w:val="28"/>
        </w:rPr>
      </w:pPr>
      <w:r>
        <w:rPr>
          <w:rFonts w:hint="eastAsia" w:ascii="仿宋" w:hAnsi="仿宋" w:eastAsia="仿宋" w:cs="仿宋"/>
          <w:color w:val="auto"/>
          <w:sz w:val="28"/>
          <w:szCs w:val="28"/>
        </w:rPr>
        <w:t>（盖章）</w:t>
      </w:r>
    </w:p>
    <w:p w14:paraId="6120FAD8">
      <w:pPr>
        <w:keepNext w:val="0"/>
        <w:keepLines w:val="0"/>
        <w:pageBreakBefore w:val="0"/>
        <w:widowControl w:val="0"/>
        <w:kinsoku/>
        <w:wordWrap/>
        <w:topLinePunct w:val="0"/>
        <w:autoSpaceDE/>
        <w:autoSpaceDN/>
        <w:bidi w:val="0"/>
        <w:jc w:val="both"/>
        <w:rPr>
          <w:rFonts w:hint="eastAsia" w:ascii="仿宋" w:hAnsi="仿宋" w:eastAsia="仿宋" w:cs="仿宋"/>
          <w:color w:val="auto"/>
          <w:kern w:val="2"/>
          <w:sz w:val="28"/>
          <w:szCs w:val="28"/>
          <w:lang w:val="en-US" w:eastAsia="zh-CN" w:bidi="ar-SA"/>
        </w:rPr>
      </w:pPr>
    </w:p>
    <w:p w14:paraId="3341A13B">
      <w:pPr>
        <w:keepNext w:val="0"/>
        <w:keepLines w:val="0"/>
        <w:pageBreakBefore w:val="0"/>
        <w:widowControl w:val="0"/>
        <w:kinsoku/>
        <w:wordWrap/>
        <w:topLinePunct w:val="0"/>
        <w:autoSpaceDE/>
        <w:autoSpaceDN/>
        <w:bidi w:val="0"/>
        <w:jc w:val="both"/>
        <w:rPr>
          <w:rFonts w:hint="eastAsia" w:eastAsia="黑体"/>
          <w:color w:val="auto"/>
          <w:sz w:val="32"/>
          <w:szCs w:val="22"/>
        </w:rPr>
      </w:pPr>
      <w:r>
        <w:rPr>
          <w:rFonts w:hint="eastAsia" w:ascii="黑体" w:hAnsi="黑体" w:eastAsia="黑体" w:cs="黑体"/>
          <w:color w:val="auto"/>
          <w:sz w:val="32"/>
          <w:szCs w:val="32"/>
        </w:rPr>
        <w:t>附录</w:t>
      </w:r>
      <w:r>
        <w:rPr>
          <w:rFonts w:hint="eastAsia" w:ascii="仿宋" w:hAnsi="仿宋" w:eastAsia="仿宋" w:cs="仿宋"/>
          <w:color w:val="auto"/>
          <w:sz w:val="32"/>
          <w:szCs w:val="32"/>
        </w:rPr>
        <w:t>5</w:t>
      </w:r>
    </w:p>
    <w:p w14:paraId="3A5682A0">
      <w:pPr>
        <w:keepNext w:val="0"/>
        <w:keepLines w:val="0"/>
        <w:pageBreakBefore w:val="0"/>
        <w:widowControl w:val="0"/>
        <w:kinsoku/>
        <w:wordWrap/>
        <w:topLinePunct w:val="0"/>
        <w:autoSpaceDE/>
        <w:autoSpaceDN/>
        <w:bidi w:val="0"/>
        <w:spacing w:line="620" w:lineRule="exact"/>
        <w:jc w:val="center"/>
        <w:rPr>
          <w:rFonts w:hint="eastAsia" w:ascii="方正小标宋_GBK" w:hAnsi="方正小标宋_GBK" w:eastAsia="方正小标宋_GBK" w:cs="方正小标宋_GBK"/>
          <w:b w:val="0"/>
          <w:bCs/>
          <w:color w:val="auto"/>
          <w:sz w:val="44"/>
          <w:szCs w:val="44"/>
        </w:rPr>
      </w:pPr>
    </w:p>
    <w:p w14:paraId="23962F3B">
      <w:pPr>
        <w:keepNext w:val="0"/>
        <w:keepLines w:val="0"/>
        <w:pageBreakBefore w:val="0"/>
        <w:widowControl w:val="0"/>
        <w:kinsoku/>
        <w:wordWrap/>
        <w:topLinePunct w:val="0"/>
        <w:autoSpaceDE/>
        <w:autoSpaceDN/>
        <w:bidi w:val="0"/>
        <w:spacing w:line="620" w:lineRule="exact"/>
        <w:jc w:val="center"/>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网络经营环节兽药质量监督抽检具体要求</w:t>
      </w:r>
    </w:p>
    <w:p w14:paraId="3F410BEC">
      <w:pPr>
        <w:keepNext w:val="0"/>
        <w:keepLines w:val="0"/>
        <w:pageBreakBefore w:val="0"/>
        <w:widowControl w:val="0"/>
        <w:kinsoku/>
        <w:wordWrap/>
        <w:topLinePunct w:val="0"/>
        <w:autoSpaceDE/>
        <w:autoSpaceDN/>
        <w:bidi w:val="0"/>
        <w:spacing w:line="620" w:lineRule="exact"/>
        <w:jc w:val="center"/>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（试行）</w:t>
      </w:r>
    </w:p>
    <w:p w14:paraId="63235CF2">
      <w:pPr>
        <w:keepNext w:val="0"/>
        <w:keepLines w:val="0"/>
        <w:pageBreakBefore w:val="0"/>
        <w:widowControl w:val="0"/>
        <w:kinsoku/>
        <w:wordWrap/>
        <w:topLinePunct w:val="0"/>
        <w:autoSpaceDE/>
        <w:autoSpaceDN/>
        <w:bidi w:val="0"/>
        <w:jc w:val="both"/>
        <w:rPr>
          <w:rFonts w:hint="eastAsia" w:ascii="Calibri" w:hAnsi="Calibri" w:eastAsia="宋体" w:cs="Times New Roman"/>
          <w:color w:val="auto"/>
          <w:kern w:val="2"/>
          <w:sz w:val="32"/>
          <w:szCs w:val="22"/>
          <w:lang w:val="en-US" w:eastAsia="zh-CN" w:bidi="ar-SA"/>
        </w:rPr>
      </w:pPr>
    </w:p>
    <w:p w14:paraId="07632F67">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hint="default" w:ascii="仿宋" w:hAnsi="仿宋" w:eastAsia="仿宋" w:cs="仿宋"/>
          <w:color w:val="auto"/>
          <w:kern w:val="2"/>
          <w:sz w:val="32"/>
          <w:szCs w:val="32"/>
        </w:rPr>
      </w:pPr>
      <w:r>
        <w:rPr>
          <w:rFonts w:ascii="仿宋" w:hAnsi="仿宋" w:eastAsia="仿宋" w:cs="仿宋"/>
          <w:color w:val="auto"/>
          <w:kern w:val="2"/>
          <w:sz w:val="32"/>
          <w:szCs w:val="32"/>
        </w:rPr>
        <w:t>网络经营环节兽药质量监督抽检主要由各级农业农村部门从</w:t>
      </w:r>
      <w:r>
        <w:rPr>
          <w:rFonts w:hint="default" w:ascii="仿宋" w:hAnsi="仿宋" w:eastAsia="仿宋" w:cs="仿宋"/>
          <w:color w:val="auto"/>
          <w:kern w:val="2"/>
          <w:sz w:val="32"/>
          <w:szCs w:val="32"/>
        </w:rPr>
        <w:t>电子商务平台（含直播平台，以下简称“平台”）的店铺、自建兽药销售网站（以下简称“网站”）等抽取相关兽药进行监督抽检，并对相关主体开展监督检查工作。</w:t>
      </w:r>
    </w:p>
    <w:p w14:paraId="70A048BE">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各地农业农村部门可以直接从相关平台店铺、网站（应为本辖区兽药生产、经营企业在平台登记的店铺或建立的网站）购买兽药产品并开展检验，或者从开展网络销售的本辖区兽药生产、经营企业的实际经营场所抽取兽药产品并检验。</w:t>
      </w:r>
    </w:p>
    <w:p w14:paraId="4D72D355">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直接从相关平台店铺或网站购买兽药产品的，线上买样时应当由2人以上进行操作，可以普通消费者身份进行购买。选定产品过程、平台店铺或网站信息（包括公示的相关兽药生产、经营许可证照）、下单过程、订单详情、客服咨询交流情况、收货查验封样过程等要拍照、截图或拍摄视频保存，作为抽样凭证，抽样单要详细记录购买样品的人员信息以及付款账户、注册账号、收货地址、联系方式，不需被抽样单位签字确认。相关样品到货后，买样人员应采取拍照或者录像等手段记录拆封过程，样品和备份样品分别封样。样品封存完毕后，抽样人员应当向被抽样平台店铺或网站发送抽样任务来源说明、抽样机构信息或抽样通知、抽查检验计划等相关文件。</w:t>
      </w:r>
    </w:p>
    <w:p w14:paraId="2F9CE7BC">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从开展网络销售的兽药生产、经营企业实际经营场所抽取样品的，可以由地方农业农村主管部门从相关平台、网站筛选确定被抽样单位，也可协调相关平台、网站提供，确定过程应按照“双随机”要求开展。抽样程序按照《抽检办法》要求执行。抽样前应预先在网上选定拟抽产品，现场无法满足抽样要求或无相关产品的，应选取其他与网上销售一致的兽药产品。</w:t>
      </w:r>
    </w:p>
    <w:p w14:paraId="19BC19B5">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抽样时应同步开展监督检查，发现平台店铺或网站是个人或者无《兽药经营许可证》、《兽药生产许可证》主体登记或建立的，以及存在其他违反《兽药管理条例》和兽药经营质量管理规范等行为的，应固定相关证据，移交被抽样单位所在地农业综合行政执法部门依法调查处理，处理完成后协调相关平台或网站组织整改。发现使用伪造《兽药经营许可证》或《兽药生产许可证》的，应将相关证据移交有关部门进行查处。</w:t>
      </w:r>
    </w:p>
    <w:p w14:paraId="7C8CD8AE">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经检验为不合格产品的，由被抽样单位所在地省级农业农村部门组织结果确认，检验结果和相关抽样凭证同时发送给产品标称生产企业所在地省级农业农村部门组织结果确认。</w:t>
      </w:r>
    </w:p>
    <w:p w14:paraId="367F0879">
      <w:pPr>
        <w:pStyle w:val="4"/>
        <w:keepNext w:val="0"/>
        <w:keepLines w:val="0"/>
        <w:pageBreakBefore w:val="0"/>
        <w:widowControl w:val="0"/>
        <w:numPr>
          <w:ilvl w:val="0"/>
          <w:numId w:val="0"/>
        </w:numPr>
        <w:kinsoku/>
        <w:wordWrap/>
        <w:overflowPunct/>
        <w:topLinePunct w:val="0"/>
        <w:autoSpaceDE/>
        <w:autoSpaceDN/>
        <w:bidi w:val="0"/>
        <w:adjustRightInd/>
        <w:snapToGrid/>
        <w:spacing w:line="620" w:lineRule="exact"/>
        <w:ind w:firstLine="622" w:firstLineChars="200"/>
        <w:jc w:val="both"/>
        <w:textAlignment w:val="auto"/>
        <w:rPr>
          <w:rFonts w:hint="default" w:ascii="仿宋" w:hAnsi="仿宋" w:eastAsia="仿宋" w:cs="仿宋"/>
          <w:color w:val="auto"/>
          <w:kern w:val="2"/>
          <w:sz w:val="32"/>
          <w:szCs w:val="32"/>
        </w:rPr>
      </w:pPr>
      <w:r>
        <w:rPr>
          <w:rFonts w:hint="default" w:ascii="仿宋" w:hAnsi="仿宋" w:eastAsia="仿宋" w:cs="仿宋"/>
          <w:color w:val="auto"/>
          <w:kern w:val="2"/>
          <w:sz w:val="32"/>
          <w:szCs w:val="32"/>
        </w:rPr>
        <w:t>直接从相关平台店铺或网站购买样品的，要将检验结果和抽样凭证发送给相关平台店铺或网站确认结果。无法联系到相关平台店铺的，协调平台获取联系方式转送检验结果。结果送达过程要留存相应截图等证据。需要复检的，按照《抽检办法》执行。检验结果送达后7个工作日未确认也未申请复检的，视为认可检验结果。</w:t>
      </w:r>
    </w:p>
    <w:p w14:paraId="6F6C5214">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22" w:firstLineChars="200"/>
        <w:jc w:val="both"/>
        <w:textAlignment w:val="auto"/>
        <w:rPr>
          <w:rFonts w:hint="default" w:ascii="仿宋" w:hAnsi="仿宋" w:eastAsia="仿宋" w:cs="仿宋"/>
          <w:color w:val="auto"/>
          <w:kern w:val="2"/>
          <w:sz w:val="32"/>
          <w:szCs w:val="32"/>
        </w:rPr>
      </w:pPr>
      <w:r>
        <w:rPr>
          <w:rFonts w:hint="default" w:ascii="仿宋" w:hAnsi="仿宋" w:eastAsia="仿宋" w:cs="仿宋"/>
          <w:color w:val="auto"/>
          <w:kern w:val="2"/>
          <w:sz w:val="32"/>
          <w:szCs w:val="32"/>
        </w:rPr>
        <w:t>经检验为不合格产品且结果已确认的，由被抽样单位所在地农业农村部门和标称生产企业所在地农业农村部门依法进行调查处理。处理完成后协调相关平台或网站采取下架或暂停销售问题产品等措施阻断假劣兽药产品流通渠道。</w:t>
      </w:r>
    </w:p>
    <w:p w14:paraId="6727709E">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22" w:firstLineChars="200"/>
        <w:jc w:val="both"/>
        <w:textAlignment w:val="auto"/>
        <w:rPr>
          <w:rFonts w:ascii="仿宋" w:hAnsi="仿宋" w:eastAsia="仿宋" w:cs="仿宋"/>
          <w:color w:val="auto"/>
          <w:kern w:val="2"/>
          <w:sz w:val="32"/>
          <w:szCs w:val="32"/>
        </w:rPr>
      </w:pPr>
      <w:r>
        <w:rPr>
          <w:rFonts w:hint="default" w:ascii="仿宋" w:hAnsi="仿宋" w:eastAsia="仿宋" w:cs="仿宋"/>
          <w:color w:val="auto"/>
          <w:kern w:val="2"/>
          <w:sz w:val="32"/>
          <w:szCs w:val="32"/>
        </w:rPr>
        <w:t>各省份报送网络经营环节监督抽检结果时，应当注明抽样平台、平台店铺或者网站的名称。</w:t>
      </w:r>
    </w:p>
    <w:p w14:paraId="249D26FB">
      <w:pPr>
        <w:pStyle w:val="4"/>
        <w:keepNext w:val="0"/>
        <w:keepLines w:val="0"/>
        <w:pageBreakBefore w:val="0"/>
        <w:widowControl w:val="0"/>
        <w:numPr>
          <w:ilvl w:val="0"/>
          <w:numId w:val="1"/>
        </w:numPr>
        <w:kinsoku/>
        <w:wordWrap/>
        <w:overflowPunct/>
        <w:topLinePunct w:val="0"/>
        <w:autoSpaceDE/>
        <w:autoSpaceDN/>
        <w:bidi w:val="0"/>
        <w:adjustRightInd/>
        <w:snapToGrid/>
        <w:spacing w:line="620" w:lineRule="exact"/>
        <w:ind w:left="0" w:leftChars="0" w:firstLine="622" w:firstLineChars="200"/>
        <w:jc w:val="both"/>
        <w:textAlignment w:val="auto"/>
        <w:rPr>
          <w:rFonts w:ascii="仿宋" w:hAnsi="仿宋" w:eastAsia="仿宋" w:cs="仿宋"/>
          <w:color w:val="auto"/>
          <w:kern w:val="2"/>
          <w:sz w:val="32"/>
          <w:szCs w:val="32"/>
        </w:rPr>
        <w:sectPr>
          <w:footerReference r:id="rId5" w:type="default"/>
          <w:pgSz w:w="11907" w:h="16840"/>
          <w:pgMar w:top="1701" w:right="1644" w:bottom="1417" w:left="1644" w:header="851" w:footer="1417" w:gutter="0"/>
          <w:pgNumType w:fmt="decimal"/>
          <w:cols w:space="720" w:num="1"/>
          <w:docGrid w:type="linesAndChars" w:linePitch="581" w:charSpace="-2029"/>
        </w:sectPr>
      </w:pPr>
      <w:r>
        <w:rPr>
          <w:rFonts w:hint="default" w:ascii="仿宋" w:hAnsi="仿宋" w:eastAsia="仿宋" w:cs="仿宋"/>
          <w:color w:val="auto"/>
          <w:kern w:val="2"/>
          <w:sz w:val="32"/>
          <w:szCs w:val="32"/>
        </w:rPr>
        <w:t>网络经营环节监督抽检其他要求按照《抽检办法》及本计划相关要求执行，具体由部畜牧兽医局负责解释</w:t>
      </w:r>
    </w:p>
    <w:p w14:paraId="742C85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029DC">
    <w:pPr>
      <w:widowControl w:val="0"/>
      <w:snapToGrid w:val="0"/>
      <w:jc w:val="left"/>
      <w:rPr>
        <w:rFonts w:ascii="Times New Roman" w:hAnsi="Times New Roman" w:eastAsia="宋体" w:cs="Times New Roman"/>
        <w:kern w:val="2"/>
        <w:sz w:val="18"/>
        <w:szCs w:val="20"/>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96ADC3">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11</w:t>
                          </w:r>
                          <w:r>
                            <w:rPr>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14:paraId="5996ADC3">
                    <w:pPr>
                      <w:pStyle w:val="3"/>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 </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11</w:t>
                    </w:r>
                    <w:r>
                      <w:rPr>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83DB1">
    <w:pPr>
      <w:widowControl w:val="0"/>
      <w:snapToGrid w:val="0"/>
      <w:jc w:val="left"/>
      <w:rPr>
        <w:rFonts w:ascii="Times New Roman" w:hAnsi="Times New Roman" w:eastAsia="宋体" w:cs="Times New Roman"/>
        <w:kern w:val="2"/>
        <w:sz w:val="18"/>
        <w:szCs w:val="20"/>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6DC48F">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236DC48F">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FA22C">
    <w:pPr>
      <w:widowControl w:val="0"/>
      <w:snapToGrid w:val="0"/>
      <w:jc w:val="left"/>
      <w:rPr>
        <w:rFonts w:ascii="Times New Roman" w:hAnsi="Times New Roman" w:eastAsia="宋体" w:cs="Times New Roman"/>
        <w:kern w:val="2"/>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33801D">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17</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fill on="f" focussize="0,0"/>
              <v:stroke on="f" weight="0.5pt"/>
              <v:imagedata o:title=""/>
              <o:lock v:ext="edit" aspectratio="f"/>
              <v:textbox inset="0mm,0mm,0mm,0mm" style="mso-fit-shape-to-text:t;">
                <w:txbxContent>
                  <w:p w14:paraId="4C33801D">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17</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3F261F"/>
    <w:multiLevelType w:val="singleLevel"/>
    <w:tmpl w:val="2A3F261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F4D5FE"/>
    <w:rsid w:val="6BF4D5FE"/>
    <w:rsid w:val="7BBF7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jc w:val="both"/>
    </w:pPr>
    <w:rPr>
      <w:rFonts w:ascii="Times New Roman" w:hAnsi="Times New Roman" w:eastAsia="宋体" w:cs="Times New Roman"/>
      <w:kern w:val="2"/>
      <w:sz w:val="32"/>
      <w:szCs w:val="32"/>
      <w:lang w:val="en-US" w:eastAsia="zh-CN"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4990</Words>
  <Characters>5102</Characters>
  <Lines>0</Lines>
  <Paragraphs>0</Paragraphs>
  <TotalTime>0</TotalTime>
  <ScaleCrop>false</ScaleCrop>
  <LinksUpToDate>false</LinksUpToDate>
  <CharactersWithSpaces>5268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2026-04-07T14:57:00Z</dcterms:created>
  <dc:creator>dandelion</dc:creator>
  <cp:lastModifiedBy>金农网编辑赵东梅</cp:lastModifiedBy>
  <dcterms:modified xsi:type="dcterms:W3CDTF">2026-04-08T01:44:25Z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A7070BC1A6C4452894ED64DCA2AA6B62_13</vt:lpwstr>
  </property>
</Properties>
</file>