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4" w:lineRule="exact"/>
        <w:jc w:val="both"/>
        <w:textAlignment w:val="auto"/>
        <w:rPr>
          <w:rFonts w:hint="eastAsia" w:ascii="黑体" w:hAnsi="黑体" w:eastAsia="黑体" w:cs="黑体"/>
          <w:snapToGrid/>
          <w:kern w:val="2"/>
          <w:sz w:val="32"/>
          <w:szCs w:val="32"/>
          <w:lang w:val="en-US" w:eastAsia="zh-CN"/>
        </w:rPr>
      </w:pPr>
      <w:r>
        <w:rPr>
          <w:rFonts w:hint="eastAsia" w:ascii="黑体" w:hAnsi="黑体" w:eastAsia="黑体" w:cs="黑体"/>
          <w:snapToGrid/>
          <w:kern w:val="2"/>
          <w:sz w:val="32"/>
          <w:szCs w:val="32"/>
          <w:lang w:eastAsia="zh-CN"/>
        </w:rPr>
        <w:t>附件</w:t>
      </w:r>
      <w:r>
        <w:rPr>
          <w:rFonts w:hint="eastAsia" w:ascii="黑体" w:hAnsi="黑体" w:eastAsia="黑体" w:cs="黑体"/>
          <w:snapToGrid/>
          <w:kern w:val="2"/>
          <w:sz w:val="32"/>
          <w:szCs w:val="32"/>
          <w:lang w:val="en-US" w:eastAsia="zh-CN"/>
        </w:rPr>
        <w:t>2</w:t>
      </w:r>
    </w:p>
    <w:p>
      <w:pPr>
        <w:keepNext w:val="0"/>
        <w:keepLines w:val="0"/>
        <w:pageBreakBefore w:val="0"/>
        <w:widowControl w:val="0"/>
        <w:kinsoku/>
        <w:wordWrap/>
        <w:overflowPunct/>
        <w:topLinePunct w:val="0"/>
        <w:autoSpaceDE/>
        <w:autoSpaceDN/>
        <w:bidi w:val="0"/>
        <w:adjustRightInd w:val="0"/>
        <w:snapToGrid w:val="0"/>
        <w:spacing w:line="594" w:lineRule="exact"/>
        <w:jc w:val="center"/>
        <w:textAlignment w:val="auto"/>
        <w:rPr>
          <w:rFonts w:hint="default" w:ascii="Times New Roman" w:hAnsi="Times New Roman" w:eastAsia="方正小标宋简体" w:cs="Times New Roman"/>
          <w:snapToGrid/>
          <w:kern w:val="2"/>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94" w:lineRule="exact"/>
        <w:jc w:val="center"/>
        <w:textAlignment w:val="auto"/>
        <w:rPr>
          <w:rFonts w:hint="eastAsia" w:ascii="方正小标宋简体" w:hAnsi="方正小标宋简体" w:eastAsia="方正小标宋简体" w:cs="方正小标宋简体"/>
          <w:snapToGrid/>
          <w:kern w:val="2"/>
          <w:sz w:val="44"/>
          <w:szCs w:val="44"/>
        </w:rPr>
      </w:pPr>
      <w:r>
        <w:rPr>
          <w:rFonts w:hint="eastAsia" w:ascii="方正小标宋简体" w:hAnsi="方正小标宋简体" w:eastAsia="方正小标宋简体" w:cs="方正小标宋简体"/>
          <w:snapToGrid/>
          <w:kern w:val="2"/>
          <w:sz w:val="44"/>
          <w:szCs w:val="44"/>
        </w:rPr>
        <w:t>《乳制品生产许可审查细则</w:t>
      </w:r>
      <w:r>
        <w:rPr>
          <w:rFonts w:hint="eastAsia" w:ascii="方正小标宋简体" w:hAnsi="方正小标宋简体" w:eastAsia="方正小标宋简体" w:cs="方正小标宋简体"/>
          <w:snapToGrid/>
          <w:kern w:val="2"/>
          <w:sz w:val="44"/>
          <w:szCs w:val="44"/>
          <w:lang w:eastAsia="zh-CN"/>
        </w:rPr>
        <w:t>（</w:t>
      </w:r>
      <w:r>
        <w:rPr>
          <w:rFonts w:hint="eastAsia" w:ascii="方正小标宋简体" w:hAnsi="方正小标宋简体" w:eastAsia="方正小标宋简体" w:cs="方正小标宋简体"/>
          <w:snapToGrid/>
          <w:kern w:val="2"/>
          <w:sz w:val="44"/>
          <w:szCs w:val="44"/>
          <w:lang w:val="en-US" w:eastAsia="zh-CN"/>
        </w:rPr>
        <w:t>征求意见稿</w:t>
      </w:r>
      <w:r>
        <w:rPr>
          <w:rFonts w:hint="eastAsia" w:ascii="方正小标宋简体" w:hAnsi="方正小标宋简体" w:eastAsia="方正小标宋简体" w:cs="方正小标宋简体"/>
          <w:snapToGrid/>
          <w:kern w:val="2"/>
          <w:sz w:val="44"/>
          <w:szCs w:val="44"/>
          <w:lang w:eastAsia="zh-CN"/>
        </w:rPr>
        <w:t>）</w:t>
      </w:r>
      <w:r>
        <w:rPr>
          <w:rFonts w:hint="eastAsia" w:ascii="方正小标宋简体" w:hAnsi="方正小标宋简体" w:eastAsia="方正小标宋简体" w:cs="方正小标宋简体"/>
          <w:snapToGrid/>
          <w:kern w:val="2"/>
          <w:sz w:val="44"/>
          <w:szCs w:val="44"/>
        </w:rPr>
        <w:t>》</w:t>
      </w:r>
    </w:p>
    <w:p>
      <w:pPr>
        <w:keepNext w:val="0"/>
        <w:keepLines w:val="0"/>
        <w:pageBreakBefore w:val="0"/>
        <w:widowControl w:val="0"/>
        <w:kinsoku/>
        <w:wordWrap/>
        <w:overflowPunct/>
        <w:topLinePunct w:val="0"/>
        <w:autoSpaceDE/>
        <w:autoSpaceDN/>
        <w:bidi w:val="0"/>
        <w:adjustRightInd w:val="0"/>
        <w:snapToGrid w:val="0"/>
        <w:spacing w:line="594" w:lineRule="exact"/>
        <w:jc w:val="center"/>
        <w:textAlignment w:val="auto"/>
        <w:rPr>
          <w:rFonts w:hint="eastAsia" w:ascii="方正小标宋简体" w:hAnsi="方正小标宋简体" w:eastAsia="方正小标宋简体" w:cs="方正小标宋简体"/>
          <w:snapToGrid/>
          <w:kern w:val="2"/>
          <w:sz w:val="44"/>
          <w:szCs w:val="44"/>
        </w:rPr>
      </w:pPr>
      <w:r>
        <w:rPr>
          <w:rFonts w:hint="eastAsia" w:ascii="方正小标宋简体" w:hAnsi="方正小标宋简体" w:eastAsia="方正小标宋简体" w:cs="方正小标宋简体"/>
          <w:snapToGrid/>
          <w:kern w:val="2"/>
          <w:sz w:val="44"/>
          <w:szCs w:val="44"/>
          <w:lang w:eastAsia="zh-CN"/>
        </w:rPr>
        <w:t>修订</w:t>
      </w:r>
      <w:r>
        <w:rPr>
          <w:rFonts w:hint="eastAsia" w:ascii="方正小标宋简体" w:hAnsi="方正小标宋简体" w:eastAsia="方正小标宋简体" w:cs="方正小标宋简体"/>
          <w:snapToGrid/>
          <w:kern w:val="2"/>
          <w:sz w:val="44"/>
          <w:szCs w:val="44"/>
        </w:rPr>
        <w:t>说明</w:t>
      </w:r>
    </w:p>
    <w:p>
      <w:pPr>
        <w:keepNext w:val="0"/>
        <w:keepLines w:val="0"/>
        <w:pageBreakBefore w:val="0"/>
        <w:widowControl w:val="0"/>
        <w:kinsoku/>
        <w:wordWrap/>
        <w:overflowPunct/>
        <w:topLinePunct w:val="0"/>
        <w:autoSpaceDE/>
        <w:autoSpaceDN/>
        <w:bidi w:val="0"/>
        <w:adjustRightInd w:val="0"/>
        <w:snapToGrid w:val="0"/>
        <w:spacing w:line="594" w:lineRule="exact"/>
        <w:ind w:firstLine="880" w:firstLineChars="200"/>
        <w:jc w:val="center"/>
        <w:textAlignment w:val="auto"/>
        <w:rPr>
          <w:rFonts w:hint="eastAsia" w:ascii="Times New Roman" w:hAnsi="Times New Roman" w:eastAsia="方正小标宋简体" w:cs="Times New Roman"/>
          <w:snapToGrid/>
          <w:kern w:val="2"/>
          <w:sz w:val="44"/>
          <w:szCs w:val="44"/>
        </w:rPr>
      </w:pPr>
    </w:p>
    <w:p>
      <w:pPr>
        <w:keepNext w:val="0"/>
        <w:keepLines w:val="0"/>
        <w:pageBreakBefore w:val="0"/>
        <w:widowControl w:val="0"/>
        <w:kinsoku/>
        <w:wordWrap/>
        <w:overflowPunct/>
        <w:topLinePunct w:val="0"/>
        <w:autoSpaceDE/>
        <w:autoSpaceDN/>
        <w:bidi w:val="0"/>
        <w:spacing w:line="594" w:lineRule="exact"/>
        <w:ind w:firstLine="640" w:firstLineChars="200"/>
        <w:jc w:val="both"/>
        <w:textAlignment w:val="auto"/>
        <w:rPr>
          <w:rFonts w:ascii="Times New Roman" w:hAnsi="Times New Roman" w:cs="仿宋_GB2312"/>
          <w:sz w:val="32"/>
          <w:szCs w:val="32"/>
        </w:rPr>
      </w:pPr>
      <w:r>
        <w:rPr>
          <w:rFonts w:hint="eastAsia" w:ascii="Times New Roman" w:hAnsi="仿宋_GB2312" w:cs="仿宋_GB2312"/>
          <w:sz w:val="32"/>
          <w:szCs w:val="32"/>
        </w:rPr>
        <w:t>为</w:t>
      </w:r>
      <w:r>
        <w:rPr>
          <w:rFonts w:hint="eastAsia" w:ascii="Times New Roman" w:hAnsi="仿宋_GB2312" w:cs="仿宋_GB2312"/>
          <w:sz w:val="32"/>
          <w:szCs w:val="32"/>
          <w:lang w:eastAsia="zh-CN"/>
        </w:rPr>
        <w:t>进一步</w:t>
      </w:r>
      <w:r>
        <w:rPr>
          <w:rFonts w:hint="eastAsia" w:ascii="Times New Roman" w:hAnsi="仿宋_GB2312" w:cs="仿宋_GB2312"/>
          <w:sz w:val="32"/>
          <w:szCs w:val="32"/>
        </w:rPr>
        <w:t>规范指导乳制品生产许可工作，加强乳制品质量安全监管，依据《中华人民共和国食品安全法》及其实施条例、《乳品质量</w:t>
      </w:r>
      <w:r>
        <w:rPr>
          <w:rFonts w:hint="eastAsia" w:ascii="Times New Roman" w:hAnsi="仿宋_GB2312" w:cs="仿宋_GB2312"/>
          <w:sz w:val="32"/>
          <w:szCs w:val="32"/>
          <w:lang w:val="en-US" w:eastAsia="zh-CN"/>
        </w:rPr>
        <w:t>安全</w:t>
      </w:r>
      <w:r>
        <w:rPr>
          <w:rFonts w:hint="eastAsia" w:ascii="Times New Roman" w:hAnsi="仿宋_GB2312" w:cs="仿宋_GB2312"/>
          <w:sz w:val="32"/>
          <w:szCs w:val="32"/>
        </w:rPr>
        <w:t>监督管理条例》</w:t>
      </w:r>
      <w:r>
        <w:rPr>
          <w:rFonts w:hint="eastAsia" w:ascii="Times New Roman" w:hAnsi="仿宋_GB2312" w:cs="仿宋_GB2312"/>
          <w:sz w:val="32"/>
          <w:szCs w:val="32"/>
          <w:lang w:eastAsia="zh-CN"/>
        </w:rPr>
        <w:t>、</w:t>
      </w:r>
      <w:r>
        <w:rPr>
          <w:rFonts w:hint="eastAsia" w:ascii="Times New Roman" w:hAnsi="仿宋_GB2312" w:cs="仿宋_GB2312"/>
          <w:sz w:val="32"/>
          <w:szCs w:val="32"/>
        </w:rPr>
        <w:t>《食品生产许可管理办法》等法律法规规章和食品安全国家标准规定</w:t>
      </w:r>
      <w:r>
        <w:rPr>
          <w:rFonts w:hint="eastAsia" w:ascii="Times New Roman" w:hAnsi="仿宋_GB2312" w:cs="仿宋_GB2312"/>
          <w:sz w:val="32"/>
          <w:szCs w:val="32"/>
          <w:lang w:eastAsia="zh-CN"/>
        </w:rPr>
        <w:t>，</w:t>
      </w:r>
      <w:r>
        <w:rPr>
          <w:rFonts w:hint="eastAsia" w:ascii="Times New Roman" w:hAnsi="仿宋_GB2312" w:cs="仿宋_GB2312"/>
          <w:sz w:val="32"/>
          <w:szCs w:val="32"/>
        </w:rPr>
        <w:t>市场监管总局</w:t>
      </w:r>
      <w:r>
        <w:rPr>
          <w:rFonts w:hint="eastAsia" w:ascii="Times New Roman" w:hAnsi="仿宋_GB2312" w:cs="仿宋_GB2312"/>
          <w:sz w:val="32"/>
          <w:szCs w:val="32"/>
          <w:lang w:eastAsia="zh-CN"/>
        </w:rPr>
        <w:t>在深入调查研究的基础上，</w:t>
      </w:r>
      <w:r>
        <w:rPr>
          <w:rFonts w:hint="eastAsia" w:ascii="Times New Roman" w:hAnsi="仿宋_GB2312" w:cs="仿宋_GB2312"/>
          <w:sz w:val="32"/>
          <w:szCs w:val="32"/>
        </w:rPr>
        <w:t>组织</w:t>
      </w:r>
      <w:r>
        <w:rPr>
          <w:rFonts w:hint="eastAsia" w:ascii="Times New Roman" w:hAnsi="仿宋_GB2312" w:cs="仿宋_GB2312"/>
          <w:sz w:val="32"/>
          <w:szCs w:val="32"/>
          <w:lang w:eastAsia="zh-CN"/>
        </w:rPr>
        <w:t>开展</w:t>
      </w:r>
      <w:r>
        <w:rPr>
          <w:rFonts w:hint="eastAsia" w:ascii="Times New Roman" w:hAnsi="仿宋_GB2312" w:cs="仿宋_GB2312"/>
          <w:sz w:val="32"/>
          <w:szCs w:val="32"/>
        </w:rPr>
        <w:t>乳制品生产许可审查细则修订工作，形成《乳制品生产许可审查细则</w:t>
      </w:r>
      <w:r>
        <w:rPr>
          <w:rFonts w:hint="eastAsia" w:ascii="Times New Roman" w:hAnsi="仿宋_GB2312" w:cs="仿宋_GB2312"/>
          <w:sz w:val="32"/>
          <w:szCs w:val="32"/>
          <w:lang w:eastAsia="zh-CN"/>
        </w:rPr>
        <w:t>（</w:t>
      </w:r>
      <w:r>
        <w:rPr>
          <w:rFonts w:hint="eastAsia" w:ascii="Times New Roman" w:hAnsi="仿宋_GB2312" w:cs="仿宋_GB2312"/>
          <w:sz w:val="32"/>
          <w:szCs w:val="32"/>
          <w:lang w:val="en-US" w:eastAsia="zh-CN"/>
        </w:rPr>
        <w:t>征求意见稿</w:t>
      </w:r>
      <w:r>
        <w:rPr>
          <w:rFonts w:hint="eastAsia" w:ascii="Times New Roman" w:hAnsi="仿宋_GB2312" w:cs="仿宋_GB2312"/>
          <w:sz w:val="32"/>
          <w:szCs w:val="32"/>
          <w:lang w:eastAsia="zh-CN"/>
        </w:rPr>
        <w:t>）</w:t>
      </w:r>
      <w:r>
        <w:rPr>
          <w:rFonts w:hint="eastAsia" w:ascii="Times New Roman" w:hAnsi="仿宋_GB2312" w:cs="仿宋_GB2312"/>
          <w:sz w:val="32"/>
          <w:szCs w:val="32"/>
        </w:rPr>
        <w:t>》（以下简称《细则（</w:t>
      </w:r>
      <w:r>
        <w:rPr>
          <w:rFonts w:hint="eastAsia" w:ascii="Times New Roman" w:hAnsi="仿宋_GB2312" w:cs="仿宋_GB2312"/>
          <w:sz w:val="32"/>
          <w:szCs w:val="32"/>
          <w:lang w:eastAsia="zh-CN"/>
        </w:rPr>
        <w:t>征求意见</w:t>
      </w:r>
      <w:r>
        <w:rPr>
          <w:rFonts w:hint="eastAsia" w:ascii="Times New Roman" w:hAnsi="仿宋_GB2312" w:cs="仿宋_GB2312"/>
          <w:sz w:val="32"/>
          <w:szCs w:val="32"/>
          <w:lang w:val="en-US" w:eastAsia="zh-CN"/>
        </w:rPr>
        <w:t>稿</w:t>
      </w:r>
      <w:r>
        <w:rPr>
          <w:rFonts w:hint="eastAsia" w:ascii="Times New Roman" w:hAnsi="仿宋_GB2312" w:cs="仿宋_GB2312"/>
          <w:sz w:val="32"/>
          <w:szCs w:val="32"/>
          <w:lang w:eastAsia="zh-CN"/>
        </w:rPr>
        <w:t>）</w:t>
      </w:r>
      <w:r>
        <w:rPr>
          <w:rFonts w:hint="eastAsia" w:ascii="Times New Roman" w:hAnsi="仿宋_GB2312" w:cs="仿宋_GB2312"/>
          <w:sz w:val="32"/>
          <w:szCs w:val="32"/>
        </w:rPr>
        <w:t>》）。</w:t>
      </w:r>
    </w:p>
    <w:p>
      <w:pPr>
        <w:keepNext w:val="0"/>
        <w:keepLines w:val="0"/>
        <w:pageBreakBefore w:val="0"/>
        <w:widowControl w:val="0"/>
        <w:kinsoku/>
        <w:wordWrap/>
        <w:overflowPunct/>
        <w:topLinePunct w:val="0"/>
        <w:autoSpaceDE/>
        <w:autoSpaceDN/>
        <w:bidi w:val="0"/>
        <w:spacing w:line="594" w:lineRule="exact"/>
        <w:ind w:firstLine="640" w:firstLineChars="200"/>
        <w:textAlignment w:val="auto"/>
        <w:rPr>
          <w:rFonts w:hint="eastAsia" w:ascii="Times New Roman" w:hAnsi="Times New Roman" w:eastAsia="黑体"/>
          <w:b w:val="0"/>
          <w:bCs/>
          <w:sz w:val="32"/>
          <w:szCs w:val="32"/>
          <w:lang w:val="en-US" w:eastAsia="zh-CN"/>
        </w:rPr>
      </w:pPr>
      <w:r>
        <w:rPr>
          <w:rFonts w:hint="eastAsia" w:ascii="Times New Roman" w:hAnsi="Times New Roman" w:eastAsia="黑体"/>
          <w:b w:val="0"/>
          <w:bCs/>
          <w:sz w:val="32"/>
          <w:szCs w:val="32"/>
          <w:lang w:val="en-US" w:eastAsia="zh-CN"/>
        </w:rPr>
        <w:t>一、</w:t>
      </w:r>
      <w:r>
        <w:rPr>
          <w:rFonts w:hint="eastAsia" w:ascii="Times New Roman" w:hAnsi="黑体" w:eastAsia="黑体"/>
          <w:b w:val="0"/>
          <w:bCs/>
          <w:sz w:val="32"/>
          <w:szCs w:val="32"/>
          <w:lang w:eastAsia="zh-CN"/>
        </w:rPr>
        <w:t>修订背景</w:t>
      </w:r>
    </w:p>
    <w:p>
      <w:pPr>
        <w:keepNext w:val="0"/>
        <w:keepLines w:val="0"/>
        <w:pageBreakBefore w:val="0"/>
        <w:widowControl w:val="0"/>
        <w:kinsoku/>
        <w:wordWrap/>
        <w:overflowPunct/>
        <w:topLinePunct w:val="0"/>
        <w:autoSpaceDE/>
        <w:autoSpaceDN/>
        <w:bidi w:val="0"/>
        <w:spacing w:line="594" w:lineRule="exact"/>
        <w:ind w:firstLine="640" w:firstLineChars="200"/>
        <w:textAlignment w:val="auto"/>
        <w:rPr>
          <w:rFonts w:hint="eastAsia" w:ascii="Times New Roman" w:hAnsi="仿宋_GB2312" w:cs="仿宋_GB2312"/>
          <w:sz w:val="32"/>
          <w:szCs w:val="32"/>
        </w:rPr>
      </w:pPr>
      <w:r>
        <w:rPr>
          <w:rFonts w:hint="eastAsia" w:ascii="Times New Roman" w:hAnsi="Times New Roman"/>
          <w:sz w:val="32"/>
          <w:szCs w:val="32"/>
        </w:rPr>
        <w:t>乳制品的质量安全与人民群众身体健康息息相关。</w:t>
      </w:r>
      <w:r>
        <w:rPr>
          <w:rFonts w:hint="eastAsia" w:ascii="Times New Roman" w:hAnsi="仿宋_GB2312" w:cs="仿宋_GB2312"/>
          <w:sz w:val="32"/>
          <w:szCs w:val="32"/>
        </w:rPr>
        <w:t>《企业生产乳制品许可条件审查细则（2010）版》实施</w:t>
      </w:r>
      <w:r>
        <w:rPr>
          <w:rFonts w:hint="eastAsia" w:ascii="Times New Roman" w:hAnsi="仿宋_GB2312" w:cs="仿宋_GB2312"/>
          <w:sz w:val="32"/>
          <w:szCs w:val="32"/>
          <w:lang w:eastAsia="zh-CN"/>
        </w:rPr>
        <w:t>以来，规范</w:t>
      </w:r>
      <w:r>
        <w:rPr>
          <w:rFonts w:hint="eastAsia" w:ascii="Times New Roman" w:hAnsi="仿宋_GB2312" w:cs="仿宋_GB2312"/>
          <w:sz w:val="32"/>
          <w:szCs w:val="32"/>
        </w:rPr>
        <w:t>了乳制品行业的生产装备条件、加工技术水平、原辅料验收和生产过程控制水平、产品检验能力，提升了生产质量管理能力和产品质量安全水平</w:t>
      </w:r>
      <w:r>
        <w:rPr>
          <w:rFonts w:hint="eastAsia" w:ascii="Times New Roman" w:hAnsi="Times New Roman"/>
          <w:sz w:val="32"/>
          <w:szCs w:val="32"/>
        </w:rPr>
        <w:t>，我国乳制品行业质量安全情况持续稳定向好</w:t>
      </w:r>
      <w:r>
        <w:rPr>
          <w:rFonts w:hint="eastAsia" w:ascii="Times New Roman" w:hAnsi="仿宋_GB2312" w:cs="仿宋_GB2312"/>
          <w:sz w:val="32"/>
          <w:szCs w:val="32"/>
        </w:rPr>
        <w:t>。</w:t>
      </w:r>
      <w:r>
        <w:rPr>
          <w:rFonts w:hint="eastAsia" w:ascii="Times New Roman" w:hAnsi="仿宋_GB2312" w:cs="仿宋_GB2312"/>
          <w:sz w:val="32"/>
          <w:szCs w:val="32"/>
          <w:lang w:eastAsia="zh-CN"/>
        </w:rPr>
        <w:t>但</w:t>
      </w:r>
      <w:r>
        <w:rPr>
          <w:rFonts w:hint="eastAsia" w:ascii="Times New Roman" w:hAnsi="仿宋_GB2312" w:cs="仿宋_GB2312"/>
          <w:sz w:val="32"/>
          <w:szCs w:val="32"/>
        </w:rPr>
        <w:t>随着《中华人民共和国食品安全法》</w:t>
      </w:r>
      <w:r>
        <w:rPr>
          <w:rFonts w:hint="eastAsia" w:ascii="Times New Roman" w:hAnsi="仿宋_GB2312" w:cs="仿宋_GB2312"/>
          <w:sz w:val="32"/>
          <w:szCs w:val="32"/>
          <w:lang w:eastAsia="zh-CN"/>
        </w:rPr>
        <w:t>及其实施条例等法律法规的制修订</w:t>
      </w:r>
      <w:r>
        <w:rPr>
          <w:rFonts w:hint="eastAsia" w:ascii="Times New Roman" w:hAnsi="仿宋_GB2312" w:cs="仿宋_GB2312"/>
          <w:sz w:val="32"/>
          <w:szCs w:val="32"/>
        </w:rPr>
        <w:t>，对食品生产</w:t>
      </w:r>
      <w:r>
        <w:rPr>
          <w:rFonts w:hint="eastAsia" w:ascii="Times New Roman" w:hAnsi="仿宋_GB2312" w:cs="仿宋_GB2312"/>
          <w:sz w:val="32"/>
          <w:szCs w:val="32"/>
          <w:lang w:eastAsia="zh-CN"/>
        </w:rPr>
        <w:t>监管</w:t>
      </w:r>
      <w:r>
        <w:rPr>
          <w:rFonts w:hint="eastAsia" w:ascii="Times New Roman" w:hAnsi="仿宋_GB2312" w:cs="仿宋_GB2312"/>
          <w:sz w:val="32"/>
          <w:szCs w:val="32"/>
        </w:rPr>
        <w:t>提出了新的要求。</w:t>
      </w:r>
      <w:r>
        <w:rPr>
          <w:rFonts w:hint="eastAsia" w:ascii="Times New Roman" w:hAnsi="仿宋_GB2312" w:cs="仿宋_GB2312"/>
          <w:sz w:val="32"/>
          <w:szCs w:val="32"/>
          <w:lang w:eastAsia="zh-CN"/>
        </w:rPr>
        <w:t>同时，乳制品</w:t>
      </w:r>
      <w:r>
        <w:rPr>
          <w:rFonts w:hint="eastAsia" w:ascii="Times New Roman" w:hAnsi="仿宋_GB2312" w:cs="仿宋_GB2312"/>
          <w:sz w:val="32"/>
          <w:szCs w:val="32"/>
        </w:rPr>
        <w:t>生产许可审查过程中依然存在着乳制品产品分类、</w:t>
      </w:r>
      <w:r>
        <w:rPr>
          <w:rFonts w:hint="eastAsia" w:ascii="Times New Roman" w:hAnsi="仿宋_GB2312" w:cs="仿宋_GB2312"/>
          <w:sz w:val="32"/>
          <w:szCs w:val="32"/>
          <w:lang w:eastAsia="zh-CN"/>
        </w:rPr>
        <w:t>人员管理、制度管理、生产</w:t>
      </w:r>
      <w:r>
        <w:rPr>
          <w:rFonts w:hint="eastAsia" w:ascii="Times New Roman" w:hAnsi="仿宋_GB2312" w:cs="仿宋_GB2312"/>
          <w:sz w:val="32"/>
          <w:szCs w:val="32"/>
        </w:rPr>
        <w:t>全过程质量控制等</w:t>
      </w:r>
      <w:r>
        <w:rPr>
          <w:rFonts w:hint="eastAsia" w:ascii="Times New Roman" w:hAnsi="仿宋_GB2312" w:cs="仿宋_GB2312"/>
          <w:sz w:val="32"/>
          <w:szCs w:val="32"/>
          <w:lang w:eastAsia="zh-CN"/>
        </w:rPr>
        <w:t>方面不完善的问题</w:t>
      </w:r>
      <w:r>
        <w:rPr>
          <w:rFonts w:hint="eastAsia" w:ascii="Times New Roman" w:hAnsi="仿宋_GB2312" w:cs="仿宋_GB2312"/>
          <w:sz w:val="32"/>
          <w:szCs w:val="32"/>
        </w:rPr>
        <w:t>。因此</w:t>
      </w:r>
      <w:r>
        <w:rPr>
          <w:rFonts w:hint="eastAsia" w:ascii="Times New Roman" w:hAnsi="仿宋_GB2312" w:cs="仿宋_GB2312"/>
          <w:sz w:val="32"/>
          <w:szCs w:val="32"/>
          <w:lang w:eastAsia="zh-CN"/>
        </w:rPr>
        <w:t>需对现行细则</w:t>
      </w:r>
      <w:r>
        <w:rPr>
          <w:rFonts w:hint="eastAsia" w:ascii="Times New Roman" w:hAnsi="仿宋_GB2312" w:cs="仿宋_GB2312"/>
          <w:sz w:val="32"/>
          <w:szCs w:val="32"/>
        </w:rPr>
        <w:t>中产品分类</w:t>
      </w:r>
      <w:r>
        <w:rPr>
          <w:rFonts w:hint="eastAsia" w:ascii="Times New Roman" w:hAnsi="仿宋_GB2312" w:cs="仿宋_GB2312"/>
          <w:sz w:val="32"/>
          <w:szCs w:val="32"/>
          <w:lang w:eastAsia="zh-CN"/>
        </w:rPr>
        <w:t>、</w:t>
      </w:r>
      <w:r>
        <w:rPr>
          <w:rFonts w:hint="eastAsia" w:ascii="Times New Roman" w:hAnsi="仿宋_GB2312" w:cs="仿宋_GB2312"/>
          <w:sz w:val="32"/>
          <w:szCs w:val="32"/>
        </w:rPr>
        <w:t>生产场所、设备设施、设备布局与工艺流程、人员管理、管理制度、试制产品检验合格报告等</w:t>
      </w:r>
      <w:r>
        <w:rPr>
          <w:rFonts w:hint="eastAsia" w:ascii="Times New Roman" w:hAnsi="仿宋_GB2312" w:cs="仿宋_GB2312"/>
          <w:sz w:val="32"/>
          <w:szCs w:val="32"/>
          <w:lang w:eastAsia="zh-CN"/>
        </w:rPr>
        <w:t>进行修订完善，进一步</w:t>
      </w:r>
      <w:r>
        <w:rPr>
          <w:rFonts w:hint="eastAsia" w:ascii="Times New Roman" w:hAnsi="仿宋_GB2312" w:cs="仿宋_GB2312"/>
          <w:sz w:val="32"/>
          <w:szCs w:val="32"/>
        </w:rPr>
        <w:t>统一乳制品生产许可审查要求，为生产许可审查提供技术支撑，进一步推动乳制品生产企业落实主体责任、规范生产行为、保障乳制品质量安全。</w:t>
      </w:r>
    </w:p>
    <w:p>
      <w:pPr>
        <w:keepNext w:val="0"/>
        <w:keepLines w:val="0"/>
        <w:pageBreakBefore w:val="0"/>
        <w:widowControl w:val="0"/>
        <w:kinsoku/>
        <w:wordWrap/>
        <w:overflowPunct/>
        <w:topLinePunct w:val="0"/>
        <w:autoSpaceDE/>
        <w:autoSpaceDN/>
        <w:bidi w:val="0"/>
        <w:spacing w:line="594" w:lineRule="exact"/>
        <w:ind w:firstLine="640" w:firstLineChars="200"/>
        <w:textAlignment w:val="auto"/>
        <w:rPr>
          <w:rFonts w:hint="default" w:ascii="Times New Roman" w:hAnsi="Times New Roman" w:eastAsia="黑体"/>
          <w:b/>
          <w:sz w:val="32"/>
          <w:szCs w:val="32"/>
          <w:lang w:val="en-US" w:eastAsia="zh-CN"/>
        </w:rPr>
      </w:pPr>
      <w:r>
        <w:rPr>
          <w:rFonts w:hint="eastAsia" w:ascii="Times New Roman" w:hAnsi="黑体" w:eastAsia="黑体"/>
          <w:b w:val="0"/>
          <w:bCs/>
          <w:sz w:val="32"/>
          <w:szCs w:val="32"/>
          <w:lang w:val="en-US" w:eastAsia="zh-CN"/>
        </w:rPr>
        <w:t>二、修订过程</w:t>
      </w:r>
    </w:p>
    <w:p>
      <w:pPr>
        <w:keepNext w:val="0"/>
        <w:keepLines w:val="0"/>
        <w:pageBreakBefore w:val="0"/>
        <w:widowControl w:val="0"/>
        <w:kinsoku/>
        <w:wordWrap/>
        <w:overflowPunct/>
        <w:topLinePunct w:val="0"/>
        <w:autoSpaceDE/>
        <w:autoSpaceDN/>
        <w:bidi w:val="0"/>
        <w:spacing w:line="594" w:lineRule="exact"/>
        <w:textAlignment w:val="auto"/>
        <w:rPr>
          <w:rFonts w:ascii="Times New Roman" w:hAnsi="仿宋_GB2312" w:cs="仿宋_GB2312"/>
          <w:sz w:val="32"/>
          <w:szCs w:val="32"/>
        </w:rPr>
      </w:pPr>
      <w:r>
        <w:rPr>
          <w:rFonts w:hint="eastAsia" w:ascii="Times New Roman" w:hAnsi="Times New Roman" w:eastAsia="楷体"/>
          <w:sz w:val="32"/>
          <w:szCs w:val="32"/>
          <w:lang w:val="en-US" w:eastAsia="zh-CN"/>
        </w:rPr>
        <w:t xml:space="preserve">    </w:t>
      </w:r>
      <w:r>
        <w:rPr>
          <w:rFonts w:hint="eastAsia" w:ascii="Times New Roman" w:hAnsi="仿宋_GB2312" w:cs="仿宋_GB2312"/>
          <w:sz w:val="32"/>
          <w:szCs w:val="32"/>
        </w:rPr>
        <w:t>本着科学、务实</w:t>
      </w:r>
      <w:r>
        <w:rPr>
          <w:rFonts w:hint="eastAsia" w:ascii="Times New Roman" w:hAnsi="仿宋_GB2312" w:cs="仿宋_GB2312"/>
          <w:sz w:val="32"/>
          <w:szCs w:val="32"/>
          <w:lang w:eastAsia="zh-CN"/>
        </w:rPr>
        <w:t>的原则</w:t>
      </w:r>
      <w:r>
        <w:rPr>
          <w:rFonts w:hint="eastAsia" w:ascii="Times New Roman" w:hAnsi="仿宋_GB2312" w:cs="仿宋_GB2312"/>
          <w:sz w:val="32"/>
          <w:szCs w:val="32"/>
        </w:rPr>
        <w:t>，切实促进行业发展，提高监管效能的原则，细则修订起草工作</w:t>
      </w:r>
      <w:r>
        <w:rPr>
          <w:rFonts w:hint="eastAsia" w:ascii="Times New Roman" w:hAnsi="仿宋_GB2312" w:cs="仿宋_GB2312"/>
          <w:sz w:val="32"/>
          <w:szCs w:val="32"/>
          <w:lang w:eastAsia="zh-CN"/>
        </w:rPr>
        <w:t>组</w:t>
      </w:r>
      <w:r>
        <w:rPr>
          <w:rFonts w:hint="eastAsia" w:ascii="Times New Roman" w:hAnsi="仿宋_GB2312" w:cs="仿宋_GB2312"/>
          <w:sz w:val="32"/>
          <w:szCs w:val="32"/>
        </w:rPr>
        <w:t>经过了文献和法规标准研究、企业意见征集、实地调研、座谈研讨、起草、细则完善等六个阶段</w:t>
      </w:r>
      <w:r>
        <w:rPr>
          <w:rFonts w:hint="eastAsia" w:ascii="Times New Roman" w:hAnsi="仿宋_GB2312" w:cs="仿宋_GB2312"/>
          <w:sz w:val="32"/>
          <w:szCs w:val="32"/>
          <w:lang w:eastAsia="zh-CN"/>
        </w:rPr>
        <w:t>。其间，起草工作组共查阅文献和法规标准200余篇；实地调研多家乳制品生产企业，范围覆盖我国多个地域、全部产品类别；</w:t>
      </w:r>
      <w:r>
        <w:rPr>
          <w:rFonts w:hint="eastAsia" w:ascii="Times New Roman" w:hAnsi="仿宋_GB2312" w:cs="仿宋_GB2312"/>
          <w:sz w:val="32"/>
          <w:szCs w:val="32"/>
        </w:rPr>
        <w:t>召开</w:t>
      </w:r>
      <w:r>
        <w:rPr>
          <w:rFonts w:hint="eastAsia" w:ascii="Times New Roman" w:hAnsi="Times New Roman" w:cs="仿宋_GB2312"/>
          <w:sz w:val="32"/>
          <w:szCs w:val="32"/>
          <w:lang w:val="en-US" w:eastAsia="zh-CN"/>
        </w:rPr>
        <w:t>多次专题</w:t>
      </w:r>
      <w:r>
        <w:rPr>
          <w:rFonts w:hint="eastAsia" w:ascii="Times New Roman" w:hAnsi="仿宋_GB2312" w:cs="仿宋_GB2312"/>
          <w:sz w:val="32"/>
          <w:szCs w:val="32"/>
          <w:lang w:eastAsia="zh-CN"/>
        </w:rPr>
        <w:t>研讨会，与基层</w:t>
      </w:r>
      <w:r>
        <w:rPr>
          <w:rFonts w:hint="eastAsia" w:ascii="Times New Roman" w:hAnsi="Times New Roman"/>
          <w:sz w:val="32"/>
          <w:szCs w:val="32"/>
        </w:rPr>
        <w:t>监管审查</w:t>
      </w:r>
      <w:r>
        <w:rPr>
          <w:rFonts w:hint="eastAsia" w:ascii="Times New Roman" w:hAnsi="Times New Roman"/>
          <w:sz w:val="32"/>
          <w:szCs w:val="32"/>
          <w:lang w:eastAsia="zh-CN"/>
        </w:rPr>
        <w:t>人</w:t>
      </w:r>
      <w:r>
        <w:rPr>
          <w:rFonts w:hint="eastAsia" w:ascii="Times New Roman" w:hAnsi="Times New Roman"/>
          <w:sz w:val="32"/>
          <w:szCs w:val="32"/>
        </w:rPr>
        <w:t>员</w:t>
      </w:r>
      <w:r>
        <w:rPr>
          <w:rFonts w:hint="eastAsia" w:ascii="Times New Roman" w:hAnsi="Times New Roman"/>
          <w:sz w:val="32"/>
          <w:szCs w:val="32"/>
          <w:lang w:eastAsia="zh-CN"/>
        </w:rPr>
        <w:t>、业界</w:t>
      </w:r>
      <w:r>
        <w:rPr>
          <w:rFonts w:hint="eastAsia" w:ascii="Times New Roman" w:hAnsi="Times New Roman"/>
          <w:sz w:val="32"/>
          <w:szCs w:val="32"/>
        </w:rPr>
        <w:t>专家</w:t>
      </w:r>
      <w:r>
        <w:rPr>
          <w:rFonts w:hint="eastAsia" w:ascii="Times New Roman" w:hAnsi="Times New Roman" w:cs="仿宋_GB2312"/>
          <w:sz w:val="32"/>
          <w:szCs w:val="32"/>
          <w:lang w:eastAsia="zh-CN"/>
        </w:rPr>
        <w:t>和科研院所、行业组织、生产</w:t>
      </w:r>
      <w:r>
        <w:rPr>
          <w:rFonts w:hint="eastAsia" w:ascii="Times New Roman" w:hAnsi="Times New Roman" w:cs="仿宋_GB2312"/>
          <w:sz w:val="32"/>
          <w:szCs w:val="32"/>
        </w:rPr>
        <w:t>企业</w:t>
      </w:r>
      <w:r>
        <w:rPr>
          <w:rFonts w:hint="eastAsia" w:ascii="Times New Roman" w:hAnsi="Times New Roman" w:cs="仿宋_GB2312"/>
          <w:sz w:val="32"/>
          <w:szCs w:val="32"/>
          <w:lang w:eastAsia="zh-CN"/>
        </w:rPr>
        <w:t>代表</w:t>
      </w:r>
      <w:r>
        <w:rPr>
          <w:rFonts w:hint="eastAsia" w:ascii="Times New Roman" w:hAnsi="Times New Roman" w:cs="仿宋_GB2312"/>
          <w:sz w:val="32"/>
          <w:szCs w:val="32"/>
          <w:lang w:val="en-US" w:eastAsia="zh-CN"/>
        </w:rPr>
        <w:t>进行了充分交流、讨论</w:t>
      </w:r>
      <w:r>
        <w:rPr>
          <w:rFonts w:hint="eastAsia" w:ascii="Times New Roman" w:hAnsi="Times New Roman" w:cs="仿宋_GB2312"/>
          <w:sz w:val="32"/>
          <w:szCs w:val="32"/>
          <w:lang w:eastAsia="zh-CN"/>
        </w:rPr>
        <w:t>；</w:t>
      </w:r>
      <w:r>
        <w:rPr>
          <w:rFonts w:hint="eastAsia" w:ascii="Times New Roman" w:hAnsi="Times New Roman"/>
          <w:sz w:val="32"/>
          <w:szCs w:val="32"/>
          <w:lang w:val="en-US" w:eastAsia="zh-CN"/>
        </w:rPr>
        <w:t>先后5次向地方市场监管部门、行业组织和企业征求意见，对各方反馈意见</w:t>
      </w:r>
      <w:r>
        <w:rPr>
          <w:rFonts w:hint="eastAsia" w:ascii="Times New Roman" w:hAnsi="Times New Roman"/>
          <w:sz w:val="32"/>
          <w:szCs w:val="32"/>
          <w:lang w:eastAsia="zh-CN"/>
        </w:rPr>
        <w:t>逐条进行认真研究，</w:t>
      </w:r>
      <w:r>
        <w:rPr>
          <w:rFonts w:hint="eastAsia" w:ascii="Times New Roman" w:hAnsi="仿宋_GB2312" w:cs="仿宋_GB2312"/>
          <w:sz w:val="32"/>
          <w:szCs w:val="32"/>
          <w:lang w:eastAsia="zh-CN"/>
        </w:rPr>
        <w:t>编制</w:t>
      </w:r>
      <w:r>
        <w:rPr>
          <w:rFonts w:hint="eastAsia" w:ascii="Times New Roman" w:hAnsi="仿宋_GB2312" w:cs="仿宋_GB2312"/>
          <w:sz w:val="32"/>
          <w:szCs w:val="32"/>
        </w:rPr>
        <w:t>完成了《细则》</w:t>
      </w:r>
      <w:r>
        <w:rPr>
          <w:rFonts w:hint="eastAsia" w:ascii="Times New Roman" w:hAnsi="仿宋_GB2312" w:cs="仿宋_GB2312"/>
          <w:sz w:val="32"/>
          <w:szCs w:val="32"/>
          <w:lang w:eastAsia="zh-CN"/>
        </w:rPr>
        <w:t>修订</w:t>
      </w:r>
      <w:r>
        <w:rPr>
          <w:rFonts w:hint="eastAsia" w:ascii="Times New Roman" w:hAnsi="仿宋_GB2312" w:cs="仿宋_GB2312"/>
          <w:sz w:val="32"/>
          <w:szCs w:val="32"/>
          <w:lang w:val="en-US" w:eastAsia="zh-CN"/>
        </w:rPr>
        <w:t>征求意见</w:t>
      </w:r>
      <w:r>
        <w:rPr>
          <w:rFonts w:hint="eastAsia" w:ascii="Times New Roman" w:hAnsi="仿宋_GB2312" w:cs="仿宋_GB2312"/>
          <w:sz w:val="32"/>
          <w:szCs w:val="32"/>
        </w:rPr>
        <w:t>稿。</w:t>
      </w:r>
    </w:p>
    <w:p>
      <w:pPr>
        <w:keepNext w:val="0"/>
        <w:keepLines w:val="0"/>
        <w:pageBreakBefore w:val="0"/>
        <w:widowControl w:val="0"/>
        <w:kinsoku/>
        <w:wordWrap/>
        <w:overflowPunct/>
        <w:topLinePunct w:val="0"/>
        <w:autoSpaceDE/>
        <w:autoSpaceDN/>
        <w:bidi w:val="0"/>
        <w:adjustRightInd/>
        <w:snapToGrid/>
        <w:spacing w:line="594" w:lineRule="exact"/>
        <w:ind w:firstLine="641"/>
        <w:textAlignment w:val="auto"/>
        <w:rPr>
          <w:rFonts w:hint="eastAsia" w:eastAsia="仿宋"/>
          <w:sz w:val="32"/>
          <w:szCs w:val="32"/>
          <w:highlight w:val="none"/>
          <w:lang w:val="en-US" w:eastAsia="zh-CN"/>
        </w:rPr>
      </w:pPr>
      <w:r>
        <w:rPr>
          <w:rFonts w:hint="eastAsia" w:ascii="Times New Roman" w:hAnsi="仿宋_GB2312" w:cs="仿宋_GB2312"/>
          <w:sz w:val="32"/>
          <w:szCs w:val="32"/>
        </w:rPr>
        <w:t>起草过程中</w:t>
      </w:r>
      <w:r>
        <w:rPr>
          <w:rFonts w:hint="eastAsia" w:ascii="Times New Roman" w:hAnsi="仿宋_GB2312" w:cs="仿宋_GB2312"/>
          <w:sz w:val="32"/>
          <w:szCs w:val="32"/>
          <w:lang w:eastAsia="zh-CN"/>
        </w:rPr>
        <w:t>，</w:t>
      </w:r>
      <w:r>
        <w:rPr>
          <w:rFonts w:hint="eastAsia" w:ascii="Times New Roman" w:hAnsi="仿宋_GB2312" w:cs="仿宋_GB2312"/>
          <w:sz w:val="32"/>
          <w:szCs w:val="32"/>
        </w:rPr>
        <w:t>坚持</w:t>
      </w:r>
      <w:r>
        <w:rPr>
          <w:rFonts w:hint="eastAsia" w:ascii="Times New Roman" w:hAnsi="仿宋_GB2312" w:cs="仿宋_GB2312"/>
          <w:sz w:val="32"/>
          <w:szCs w:val="32"/>
          <w:lang w:eastAsia="zh-CN"/>
        </w:rPr>
        <w:t>问题导向，</w:t>
      </w:r>
      <w:r>
        <w:rPr>
          <w:rFonts w:hint="eastAsia" w:ascii="Times New Roman" w:hAnsi="仿宋_GB2312" w:cs="仿宋_GB2312"/>
          <w:sz w:val="32"/>
          <w:szCs w:val="32"/>
        </w:rPr>
        <w:t>紧密联系实际。充分考虑</w:t>
      </w:r>
      <w:r>
        <w:rPr>
          <w:rFonts w:hint="eastAsia" w:ascii="Times New Roman" w:hAnsi="仿宋_GB2312" w:cs="仿宋_GB2312"/>
          <w:sz w:val="32"/>
          <w:szCs w:val="32"/>
          <w:lang w:eastAsia="zh-CN"/>
        </w:rPr>
        <w:t>乳制品行业发展现状、乳制品</w:t>
      </w:r>
      <w:r>
        <w:rPr>
          <w:rFonts w:hint="eastAsia" w:ascii="Times New Roman" w:hAnsi="仿宋_GB2312" w:cs="仿宋_GB2312"/>
          <w:sz w:val="32"/>
          <w:szCs w:val="32"/>
        </w:rPr>
        <w:t>生产许可审查特殊性</w:t>
      </w:r>
      <w:r>
        <w:rPr>
          <w:rFonts w:hint="eastAsia" w:ascii="Times New Roman" w:hAnsi="仿宋_GB2312" w:cs="仿宋_GB2312"/>
          <w:sz w:val="32"/>
          <w:szCs w:val="32"/>
          <w:lang w:eastAsia="zh-CN"/>
        </w:rPr>
        <w:t>，</w:t>
      </w:r>
      <w:r>
        <w:rPr>
          <w:rFonts w:hint="eastAsia" w:ascii="Times New Roman" w:hAnsi="仿宋_GB2312" w:cs="仿宋_GB2312"/>
          <w:sz w:val="32"/>
          <w:szCs w:val="32"/>
        </w:rPr>
        <w:t>保持与</w:t>
      </w:r>
      <w:r>
        <w:rPr>
          <w:rFonts w:hint="eastAsia" w:ascii="Times New Roman" w:hAnsi="仿宋_GB2312" w:cs="仿宋_GB2312"/>
          <w:sz w:val="32"/>
          <w:szCs w:val="32"/>
          <w:lang w:eastAsia="zh-CN"/>
        </w:rPr>
        <w:t>《</w:t>
      </w:r>
      <w:r>
        <w:rPr>
          <w:rFonts w:hint="eastAsia" w:ascii="Times New Roman" w:hAnsi="仿宋_GB2312" w:cs="仿宋_GB2312"/>
          <w:sz w:val="32"/>
          <w:szCs w:val="32"/>
        </w:rPr>
        <w:t>食品生产许可管理办法</w:t>
      </w:r>
      <w:r>
        <w:rPr>
          <w:rFonts w:hint="eastAsia" w:ascii="Times New Roman" w:hAnsi="仿宋_GB2312" w:cs="仿宋_GB2312"/>
          <w:sz w:val="32"/>
          <w:szCs w:val="32"/>
          <w:lang w:eastAsia="zh-CN"/>
        </w:rPr>
        <w:t>》《</w:t>
      </w:r>
      <w:r>
        <w:rPr>
          <w:rFonts w:hint="eastAsia" w:ascii="Times New Roman" w:hAnsi="仿宋_GB2312" w:cs="仿宋_GB2312"/>
          <w:sz w:val="32"/>
          <w:szCs w:val="32"/>
        </w:rPr>
        <w:t>食品生产许可审查通则</w:t>
      </w:r>
      <w:r>
        <w:rPr>
          <w:rFonts w:hint="eastAsia" w:ascii="Times New Roman" w:hAnsi="仿宋_GB2312" w:cs="仿宋_GB2312"/>
          <w:sz w:val="32"/>
          <w:szCs w:val="32"/>
          <w:lang w:eastAsia="zh-CN"/>
        </w:rPr>
        <w:t>》</w:t>
      </w:r>
      <w:r>
        <w:rPr>
          <w:rFonts w:hint="eastAsia" w:ascii="Times New Roman" w:hAnsi="仿宋_GB2312" w:cs="仿宋_GB2312"/>
          <w:sz w:val="32"/>
          <w:szCs w:val="32"/>
        </w:rPr>
        <w:t>的衔接</w:t>
      </w:r>
      <w:r>
        <w:rPr>
          <w:rFonts w:hint="eastAsia" w:ascii="Times New Roman" w:hAnsi="仿宋_GB2312" w:cs="仿宋_GB2312"/>
          <w:sz w:val="32"/>
          <w:szCs w:val="32"/>
          <w:lang w:eastAsia="zh-CN"/>
        </w:rPr>
        <w:t>与配套，</w:t>
      </w:r>
      <w:r>
        <w:rPr>
          <w:rFonts w:hint="eastAsia" w:ascii="Times New Roman" w:hAnsi="仿宋_GB2312" w:cs="仿宋_GB2312"/>
          <w:sz w:val="32"/>
          <w:szCs w:val="32"/>
        </w:rPr>
        <w:t>力求提高规范性、科学性、可行性和适用性。在审查要求确定上</w:t>
      </w:r>
      <w:r>
        <w:rPr>
          <w:rFonts w:hint="eastAsia" w:ascii="Times New Roman" w:hAnsi="仿宋_GB2312" w:cs="仿宋_GB2312"/>
          <w:sz w:val="32"/>
          <w:szCs w:val="32"/>
          <w:lang w:eastAsia="zh-CN"/>
        </w:rPr>
        <w:t>，</w:t>
      </w:r>
      <w:r>
        <w:rPr>
          <w:rFonts w:hint="eastAsia" w:ascii="Times New Roman" w:hAnsi="仿宋_GB2312" w:cs="仿宋_GB2312"/>
          <w:sz w:val="32"/>
          <w:szCs w:val="32"/>
        </w:rPr>
        <w:t>全面参考</w:t>
      </w:r>
      <w:r>
        <w:rPr>
          <w:rFonts w:hint="eastAsia" w:ascii="Times New Roman" w:hAnsi="Times New Roman"/>
          <w:sz w:val="32"/>
          <w:szCs w:val="32"/>
        </w:rPr>
        <w:t>《食品安全国家标准 乳制品良好生产规范》（GB 12693）和《食品安全国家标准 食品生产通用卫生规范》（GB 14881）</w:t>
      </w:r>
      <w:r>
        <w:rPr>
          <w:rFonts w:hint="eastAsia" w:ascii="Times New Roman" w:hAnsi="Times New Roman"/>
          <w:sz w:val="32"/>
          <w:szCs w:val="32"/>
          <w:lang w:eastAsia="zh-CN"/>
        </w:rPr>
        <w:t>等</w:t>
      </w:r>
      <w:r>
        <w:rPr>
          <w:rFonts w:hint="eastAsia" w:ascii="Times New Roman" w:hAnsi="仿宋_GB2312" w:cs="仿宋_GB2312"/>
          <w:sz w:val="32"/>
          <w:szCs w:val="32"/>
          <w:lang w:eastAsia="zh-CN"/>
        </w:rPr>
        <w:t>乳制品</w:t>
      </w:r>
      <w:r>
        <w:rPr>
          <w:rFonts w:hint="eastAsia" w:ascii="Times New Roman" w:hAnsi="仿宋_GB2312" w:cs="仿宋_GB2312"/>
          <w:sz w:val="32"/>
          <w:szCs w:val="32"/>
        </w:rPr>
        <w:t>相关的食品安全国家标准</w:t>
      </w:r>
      <w:r>
        <w:rPr>
          <w:rFonts w:hint="eastAsia" w:ascii="Times New Roman" w:hAnsi="仿宋_GB2312" w:cs="仿宋_GB2312"/>
          <w:sz w:val="32"/>
          <w:szCs w:val="32"/>
          <w:lang w:eastAsia="zh-CN"/>
        </w:rPr>
        <w:t>，</w:t>
      </w:r>
      <w:r>
        <w:rPr>
          <w:rFonts w:hint="eastAsia" w:ascii="Times New Roman" w:hAnsi="仿宋_GB2312" w:cs="仿宋_GB2312"/>
          <w:sz w:val="32"/>
          <w:szCs w:val="32"/>
        </w:rPr>
        <w:t>结合以往国务院食品安全监管部门、卫生行政部门印发的文件、复函、解读、释义等重要内容</w:t>
      </w:r>
      <w:r>
        <w:rPr>
          <w:rFonts w:hint="eastAsia" w:ascii="Times New Roman" w:hAnsi="仿宋_GB2312" w:cs="仿宋_GB2312"/>
          <w:sz w:val="32"/>
          <w:szCs w:val="32"/>
          <w:lang w:eastAsia="zh-CN"/>
        </w:rPr>
        <w:t>，</w:t>
      </w:r>
      <w:r>
        <w:rPr>
          <w:rFonts w:hint="eastAsia" w:ascii="Times New Roman" w:hAnsi="仿宋_GB2312" w:cs="仿宋_GB2312"/>
          <w:sz w:val="32"/>
          <w:szCs w:val="32"/>
        </w:rPr>
        <w:t>力求全面、系统明确审查要求。在审查内容确定上</w:t>
      </w:r>
      <w:r>
        <w:rPr>
          <w:rFonts w:hint="eastAsia" w:ascii="Times New Roman" w:hAnsi="仿宋_GB2312" w:cs="仿宋_GB2312"/>
          <w:sz w:val="32"/>
          <w:szCs w:val="32"/>
          <w:lang w:eastAsia="zh-CN"/>
        </w:rPr>
        <w:t>，</w:t>
      </w:r>
      <w:r>
        <w:rPr>
          <w:rFonts w:hint="eastAsia" w:ascii="Times New Roman" w:hAnsi="仿宋_GB2312" w:cs="仿宋_GB2312"/>
          <w:sz w:val="32"/>
          <w:szCs w:val="32"/>
        </w:rPr>
        <w:t>充分体现风险管理原则</w:t>
      </w:r>
      <w:r>
        <w:rPr>
          <w:rFonts w:hint="eastAsia" w:ascii="Times New Roman" w:hAnsi="仿宋_GB2312" w:cs="仿宋_GB2312"/>
          <w:sz w:val="32"/>
          <w:szCs w:val="32"/>
          <w:lang w:eastAsia="zh-CN"/>
        </w:rPr>
        <w:t>，</w:t>
      </w:r>
      <w:r>
        <w:rPr>
          <w:rFonts w:hint="eastAsia" w:ascii="Times New Roman" w:hAnsi="仿宋_GB2312" w:cs="仿宋_GB2312"/>
          <w:sz w:val="32"/>
          <w:szCs w:val="32"/>
        </w:rPr>
        <w:t>全面分析近年来</w:t>
      </w:r>
      <w:r>
        <w:rPr>
          <w:rFonts w:hint="eastAsia" w:ascii="Times New Roman" w:hAnsi="仿宋_GB2312" w:cs="仿宋_GB2312"/>
          <w:sz w:val="32"/>
          <w:szCs w:val="32"/>
          <w:lang w:eastAsia="zh-CN"/>
        </w:rPr>
        <w:t>乳制品</w:t>
      </w:r>
      <w:r>
        <w:rPr>
          <w:rFonts w:hint="eastAsia" w:ascii="Times New Roman" w:hAnsi="仿宋_GB2312" w:cs="仿宋_GB2312"/>
          <w:sz w:val="32"/>
          <w:szCs w:val="32"/>
        </w:rPr>
        <w:t>监管发现问题</w:t>
      </w:r>
      <w:r>
        <w:rPr>
          <w:rFonts w:hint="eastAsia" w:ascii="Times New Roman" w:hAnsi="仿宋_GB2312" w:cs="仿宋_GB2312"/>
          <w:sz w:val="32"/>
          <w:szCs w:val="32"/>
          <w:lang w:eastAsia="zh-CN"/>
        </w:rPr>
        <w:t>，</w:t>
      </w:r>
      <w:r>
        <w:rPr>
          <w:rFonts w:hint="eastAsia" w:ascii="Times New Roman" w:hAnsi="仿宋_GB2312" w:cs="仿宋_GB2312"/>
          <w:sz w:val="32"/>
          <w:szCs w:val="32"/>
        </w:rPr>
        <w:t>组织各省局食品生产处对各地</w:t>
      </w:r>
      <w:r>
        <w:rPr>
          <w:rFonts w:hint="eastAsia" w:ascii="Times New Roman" w:hAnsi="仿宋_GB2312" w:cs="仿宋_GB2312"/>
          <w:sz w:val="32"/>
          <w:szCs w:val="32"/>
          <w:lang w:eastAsia="zh-CN"/>
        </w:rPr>
        <w:t>乳制品</w:t>
      </w:r>
      <w:r>
        <w:rPr>
          <w:rFonts w:hint="eastAsia" w:ascii="Times New Roman" w:hAnsi="仿宋_GB2312" w:cs="仿宋_GB2312"/>
          <w:sz w:val="32"/>
          <w:szCs w:val="32"/>
        </w:rPr>
        <w:t>生产许可存在问题进行分析反馈</w:t>
      </w:r>
      <w:r>
        <w:rPr>
          <w:rFonts w:hint="eastAsia" w:ascii="Times New Roman" w:hAnsi="仿宋_GB2312" w:cs="仿宋_GB2312"/>
          <w:sz w:val="32"/>
          <w:szCs w:val="32"/>
          <w:lang w:eastAsia="zh-CN"/>
        </w:rPr>
        <w:t>，</w:t>
      </w:r>
      <w:r>
        <w:rPr>
          <w:rFonts w:hint="eastAsia" w:ascii="Times New Roman" w:hAnsi="仿宋_GB2312" w:cs="仿宋_GB2312"/>
          <w:sz w:val="32"/>
          <w:szCs w:val="32"/>
        </w:rPr>
        <w:t>系统梳理薄弱点</w:t>
      </w:r>
      <w:r>
        <w:rPr>
          <w:rFonts w:hint="eastAsia" w:ascii="Times New Roman" w:hAnsi="仿宋_GB2312" w:cs="仿宋_GB2312"/>
          <w:sz w:val="32"/>
          <w:szCs w:val="32"/>
          <w:lang w:eastAsia="zh-CN"/>
        </w:rPr>
        <w:t>，</w:t>
      </w:r>
      <w:r>
        <w:rPr>
          <w:rFonts w:hint="eastAsia" w:ascii="Times New Roman" w:hAnsi="仿宋_GB2312" w:cs="仿宋_GB2312"/>
          <w:sz w:val="32"/>
          <w:szCs w:val="32"/>
        </w:rPr>
        <w:t>对关键环节、重要制度、重点品种细化审查要求。在突出问题处理上</w:t>
      </w:r>
      <w:r>
        <w:rPr>
          <w:rFonts w:hint="eastAsia" w:ascii="Times New Roman" w:hAnsi="仿宋_GB2312" w:cs="仿宋_GB2312"/>
          <w:sz w:val="32"/>
          <w:szCs w:val="32"/>
          <w:lang w:eastAsia="zh-CN"/>
        </w:rPr>
        <w:t>，</w:t>
      </w:r>
      <w:r>
        <w:rPr>
          <w:rFonts w:hint="eastAsia" w:ascii="Times New Roman" w:hAnsi="仿宋_GB2312" w:cs="仿宋_GB2312"/>
          <w:sz w:val="32"/>
          <w:szCs w:val="32"/>
        </w:rPr>
        <w:t>针对行业提出的全面</w:t>
      </w:r>
      <w:r>
        <w:rPr>
          <w:rFonts w:hint="eastAsia" w:ascii="Times New Roman" w:hAnsi="仿宋_GB2312" w:cs="仿宋_GB2312"/>
          <w:sz w:val="32"/>
          <w:szCs w:val="32"/>
          <w:lang w:eastAsia="zh-CN"/>
        </w:rPr>
        <w:t>细化、补充完善乳制品类别与品种明细</w:t>
      </w:r>
      <w:r>
        <w:rPr>
          <w:rFonts w:hint="eastAsia" w:ascii="Times New Roman" w:hAnsi="仿宋_GB2312" w:cs="仿宋_GB2312"/>
          <w:sz w:val="32"/>
          <w:szCs w:val="32"/>
        </w:rPr>
        <w:t>等问题</w:t>
      </w:r>
      <w:r>
        <w:rPr>
          <w:rFonts w:hint="eastAsia" w:ascii="Times New Roman" w:hAnsi="仿宋_GB2312" w:cs="仿宋_GB2312"/>
          <w:sz w:val="32"/>
          <w:szCs w:val="32"/>
          <w:lang w:eastAsia="zh-CN"/>
        </w:rPr>
        <w:t>，</w:t>
      </w:r>
      <w:r>
        <w:rPr>
          <w:rFonts w:hint="eastAsia" w:ascii="Times New Roman" w:hAnsi="仿宋_GB2312" w:cs="仿宋_GB2312"/>
          <w:sz w:val="32"/>
          <w:szCs w:val="32"/>
        </w:rPr>
        <w:t>组织行业代表、权威机构、行业专家等广泛调研</w:t>
      </w:r>
      <w:r>
        <w:rPr>
          <w:rFonts w:hint="eastAsia" w:ascii="Times New Roman" w:hAnsi="仿宋_GB2312" w:cs="仿宋_GB2312"/>
          <w:sz w:val="32"/>
          <w:szCs w:val="32"/>
          <w:lang w:eastAsia="zh-CN"/>
        </w:rPr>
        <w:t>，</w:t>
      </w:r>
      <w:r>
        <w:rPr>
          <w:rFonts w:hint="eastAsia" w:ascii="Times New Roman" w:hAnsi="仿宋_GB2312" w:cs="仿宋_GB2312"/>
          <w:sz w:val="32"/>
          <w:szCs w:val="32"/>
        </w:rPr>
        <w:t>深入研讨。</w:t>
      </w:r>
    </w:p>
    <w:p>
      <w:pPr>
        <w:keepNext w:val="0"/>
        <w:keepLines w:val="0"/>
        <w:pageBreakBefore w:val="0"/>
        <w:widowControl w:val="0"/>
        <w:kinsoku/>
        <w:wordWrap/>
        <w:overflowPunct/>
        <w:topLinePunct w:val="0"/>
        <w:autoSpaceDE/>
        <w:autoSpaceDN/>
        <w:bidi w:val="0"/>
        <w:spacing w:line="594" w:lineRule="exact"/>
        <w:ind w:firstLine="640" w:firstLineChars="200"/>
        <w:jc w:val="left"/>
        <w:textAlignment w:val="auto"/>
        <w:rPr>
          <w:rFonts w:ascii="Times New Roman" w:hAnsi="Times New Roman" w:eastAsia="黑体"/>
          <w:b w:val="0"/>
          <w:bCs/>
          <w:sz w:val="32"/>
          <w:szCs w:val="32"/>
        </w:rPr>
      </w:pPr>
      <w:r>
        <w:rPr>
          <w:rFonts w:hint="eastAsia" w:ascii="Times New Roman" w:hAnsi="黑体" w:eastAsia="黑体"/>
          <w:b w:val="0"/>
          <w:bCs/>
          <w:sz w:val="32"/>
          <w:szCs w:val="32"/>
          <w:lang w:val="en-US" w:eastAsia="zh-CN"/>
        </w:rPr>
        <w:t>三</w:t>
      </w:r>
      <w:r>
        <w:rPr>
          <w:rFonts w:hint="eastAsia" w:ascii="Times New Roman" w:hAnsi="黑体" w:eastAsia="黑体"/>
          <w:b w:val="0"/>
          <w:bCs/>
          <w:sz w:val="32"/>
          <w:szCs w:val="32"/>
        </w:rPr>
        <w:t>、</w:t>
      </w:r>
      <w:r>
        <w:rPr>
          <w:rFonts w:hint="eastAsia" w:ascii="Times New Roman" w:hAnsi="黑体" w:eastAsia="黑体"/>
          <w:b w:val="0"/>
          <w:bCs/>
          <w:sz w:val="32"/>
          <w:szCs w:val="32"/>
          <w:lang w:eastAsia="zh-CN"/>
        </w:rPr>
        <w:t>修订的</w:t>
      </w:r>
      <w:r>
        <w:rPr>
          <w:rFonts w:hint="eastAsia" w:ascii="Times New Roman" w:hAnsi="黑体" w:eastAsia="黑体"/>
          <w:b w:val="0"/>
          <w:bCs/>
          <w:sz w:val="32"/>
          <w:szCs w:val="32"/>
        </w:rPr>
        <w:t>主要内容</w:t>
      </w:r>
      <w:bookmarkStart w:id="0" w:name="_GoBack"/>
      <w:bookmarkEnd w:id="0"/>
    </w:p>
    <w:p>
      <w:pPr>
        <w:keepNext w:val="0"/>
        <w:keepLines w:val="0"/>
        <w:pageBreakBefore w:val="0"/>
        <w:widowControl w:val="0"/>
        <w:kinsoku/>
        <w:wordWrap/>
        <w:overflowPunct/>
        <w:topLinePunct w:val="0"/>
        <w:autoSpaceDE/>
        <w:autoSpaceDN/>
        <w:bidi w:val="0"/>
        <w:spacing w:line="594" w:lineRule="exact"/>
        <w:ind w:firstLine="640" w:firstLineChars="200"/>
        <w:textAlignment w:val="auto"/>
        <w:rPr>
          <w:rFonts w:hint="eastAsia" w:ascii="Times New Roman" w:hAnsi="Times New Roman"/>
          <w:sz w:val="32"/>
          <w:szCs w:val="32"/>
        </w:rPr>
      </w:pP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lang w:val="en-US" w:eastAsia="zh-CN"/>
        </w:rPr>
        <w:t>一</w:t>
      </w: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lang w:val="en-US" w:eastAsia="zh-CN"/>
        </w:rPr>
        <w:t>修改名称。</w:t>
      </w:r>
      <w:r>
        <w:rPr>
          <w:rFonts w:hint="eastAsia" w:ascii="Times New Roman" w:hAnsi="Times New Roman"/>
          <w:sz w:val="32"/>
          <w:szCs w:val="32"/>
        </w:rPr>
        <w:t>根据《食品生产许可管理办法》规定，将《企业生产乳制品许可条件审查细则》修改为《</w:t>
      </w:r>
      <w:r>
        <w:rPr>
          <w:rFonts w:hint="eastAsia" w:ascii="Times New Roman" w:hAnsi="Times New Roman"/>
          <w:sz w:val="32"/>
          <w:szCs w:val="32"/>
          <w:lang w:val="en-US" w:eastAsia="zh-CN"/>
        </w:rPr>
        <w:t>乳</w:t>
      </w:r>
      <w:r>
        <w:rPr>
          <w:rFonts w:hint="eastAsia" w:ascii="Times New Roman" w:hAnsi="Times New Roman"/>
          <w:sz w:val="32"/>
          <w:szCs w:val="32"/>
        </w:rPr>
        <w:t>制品生产许可审查细则》。</w:t>
      </w:r>
    </w:p>
    <w:p>
      <w:pPr>
        <w:keepNext w:val="0"/>
        <w:keepLines w:val="0"/>
        <w:pageBreakBefore w:val="0"/>
        <w:widowControl w:val="0"/>
        <w:kinsoku/>
        <w:wordWrap/>
        <w:overflowPunct/>
        <w:topLinePunct w:val="0"/>
        <w:autoSpaceDE/>
        <w:autoSpaceDN/>
        <w:bidi w:val="0"/>
        <w:spacing w:line="594" w:lineRule="exact"/>
        <w:ind w:firstLine="640" w:firstLineChars="200"/>
        <w:textAlignment w:val="auto"/>
        <w:rPr>
          <w:rFonts w:hint="eastAsia" w:ascii="Times New Roman" w:hAnsi="仿宋_GB2312" w:cs="仿宋_GB2312"/>
          <w:sz w:val="32"/>
          <w:szCs w:val="32"/>
        </w:rPr>
      </w:pP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lang w:val="en-US" w:eastAsia="zh-CN"/>
        </w:rPr>
        <w:t>二</w:t>
      </w:r>
      <w:r>
        <w:rPr>
          <w:rFonts w:hint="eastAsia" w:ascii="楷体_GB2312" w:hAnsi="楷体_GB2312" w:eastAsia="楷体_GB2312" w:cs="楷体_GB2312"/>
          <w:b w:val="0"/>
          <w:bCs/>
          <w:sz w:val="32"/>
          <w:szCs w:val="32"/>
          <w:lang w:eastAsia="zh-CN"/>
        </w:rPr>
        <w:t>）</w:t>
      </w:r>
      <w:r>
        <w:rPr>
          <w:rFonts w:hint="eastAsia" w:ascii="楷体_GB2312" w:hAnsi="楷体_GB2312" w:eastAsia="楷体_GB2312" w:cs="楷体_GB2312"/>
          <w:b w:val="0"/>
          <w:bCs/>
          <w:sz w:val="32"/>
          <w:szCs w:val="32"/>
          <w:lang w:val="en-US" w:eastAsia="zh-CN"/>
        </w:rPr>
        <w:t>调整</w:t>
      </w:r>
      <w:r>
        <w:rPr>
          <w:rFonts w:hint="eastAsia" w:ascii="楷体_GB2312" w:hAnsi="楷体_GB2312" w:eastAsia="楷体_GB2312" w:cs="楷体_GB2312"/>
          <w:b w:val="0"/>
          <w:bCs/>
          <w:sz w:val="32"/>
          <w:szCs w:val="32"/>
        </w:rPr>
        <w:t>结构</w:t>
      </w:r>
      <w:r>
        <w:rPr>
          <w:rFonts w:hint="eastAsia" w:ascii="楷体_GB2312" w:hAnsi="楷体_GB2312" w:eastAsia="楷体_GB2312" w:cs="楷体_GB2312"/>
          <w:b w:val="0"/>
          <w:bCs/>
          <w:sz w:val="32"/>
          <w:szCs w:val="32"/>
          <w:lang w:eastAsia="zh-CN"/>
        </w:rPr>
        <w:t>。</w:t>
      </w:r>
      <w:r>
        <w:rPr>
          <w:rFonts w:hint="eastAsia" w:ascii="Times New Roman" w:hAnsi="Times New Roman"/>
          <w:sz w:val="32"/>
          <w:szCs w:val="32"/>
        </w:rPr>
        <w:t>结构调整为</w:t>
      </w:r>
      <w:r>
        <w:rPr>
          <w:rFonts w:hint="eastAsia" w:ascii="Times New Roman" w:hAnsi="Times New Roman"/>
          <w:sz w:val="32"/>
          <w:szCs w:val="32"/>
          <w:highlight w:val="none"/>
        </w:rPr>
        <w:t>八章</w:t>
      </w:r>
      <w:r>
        <w:rPr>
          <w:rFonts w:hint="eastAsia" w:ascii="Times New Roman" w:hAnsi="Times New Roman"/>
          <w:sz w:val="32"/>
          <w:szCs w:val="32"/>
          <w:highlight w:val="none"/>
          <w:lang w:val="en-US" w:eastAsia="zh-CN"/>
        </w:rPr>
        <w:t>六十</w:t>
      </w:r>
      <w:r>
        <w:rPr>
          <w:rFonts w:hint="eastAsia" w:ascii="Times New Roman" w:hAnsi="Times New Roman"/>
          <w:sz w:val="32"/>
          <w:szCs w:val="32"/>
          <w:highlight w:val="none"/>
        </w:rPr>
        <w:t>条</w:t>
      </w:r>
      <w:r>
        <w:rPr>
          <w:rFonts w:hint="eastAsia" w:ascii="Times New Roman" w:hAnsi="Times New Roman"/>
          <w:sz w:val="32"/>
          <w:szCs w:val="32"/>
        </w:rPr>
        <w:t>，主要分为总则、生产场所、设备设施、设备布局和工艺流程、人员管理、管理制度、试制产品检</w:t>
      </w:r>
      <w:r>
        <w:rPr>
          <w:rFonts w:hint="eastAsia" w:ascii="Times New Roman" w:hAnsi="Times New Roman"/>
          <w:sz w:val="32"/>
          <w:szCs w:val="32"/>
          <w:lang w:eastAsia="zh-CN"/>
        </w:rPr>
        <w:t>验</w:t>
      </w:r>
      <w:r>
        <w:rPr>
          <w:rFonts w:hint="eastAsia" w:ascii="Times New Roman" w:hAnsi="Times New Roman"/>
          <w:sz w:val="32"/>
          <w:szCs w:val="32"/>
        </w:rPr>
        <w:t>合格报告和附则等章节，</w:t>
      </w:r>
      <w:r>
        <w:rPr>
          <w:rFonts w:hint="eastAsia" w:ascii="Times New Roman" w:hAnsi="仿宋_GB2312" w:cs="仿宋_GB2312"/>
          <w:sz w:val="32"/>
          <w:szCs w:val="32"/>
        </w:rPr>
        <w:t>层次更加清晰。</w:t>
      </w:r>
    </w:p>
    <w:p>
      <w:pPr>
        <w:keepNext w:val="0"/>
        <w:keepLines w:val="0"/>
        <w:pageBreakBefore w:val="0"/>
        <w:widowControl w:val="0"/>
        <w:kinsoku/>
        <w:wordWrap/>
        <w:overflowPunct/>
        <w:topLinePunct w:val="0"/>
        <w:autoSpaceDE/>
        <w:autoSpaceDN/>
        <w:bidi w:val="0"/>
        <w:spacing w:line="594" w:lineRule="exact"/>
        <w:ind w:firstLine="480" w:firstLineChars="150"/>
        <w:jc w:val="both"/>
        <w:textAlignment w:val="auto"/>
        <w:rPr>
          <w:rFonts w:ascii="Times New Roman" w:hAnsi="Times New Roman" w:cs="仿宋_GB2312"/>
          <w:sz w:val="32"/>
          <w:szCs w:val="32"/>
        </w:rPr>
      </w:pPr>
      <w:r>
        <w:rPr>
          <w:rFonts w:hint="eastAsia" w:ascii="楷体_GB2312" w:hAnsi="楷体_GB2312" w:eastAsia="楷体_GB2312" w:cs="楷体_GB2312"/>
          <w:b w:val="0"/>
          <w:bCs/>
          <w:sz w:val="32"/>
          <w:szCs w:val="32"/>
          <w:lang w:eastAsia="zh-CN"/>
        </w:rPr>
        <w:t>（三）</w:t>
      </w:r>
      <w:r>
        <w:rPr>
          <w:rFonts w:hint="eastAsia" w:ascii="楷体_GB2312" w:hAnsi="楷体_GB2312" w:eastAsia="楷体_GB2312" w:cs="楷体_GB2312"/>
          <w:b w:val="0"/>
          <w:bCs/>
          <w:sz w:val="32"/>
          <w:szCs w:val="32"/>
          <w:lang w:val="en-US" w:eastAsia="zh-CN"/>
        </w:rPr>
        <w:t>调整产品类别与明细</w:t>
      </w:r>
      <w:r>
        <w:rPr>
          <w:rFonts w:hint="eastAsia" w:ascii="楷体_GB2312" w:hAnsi="楷体_GB2312" w:eastAsia="楷体_GB2312" w:cs="楷体_GB2312"/>
          <w:bCs/>
          <w:sz w:val="32"/>
          <w:szCs w:val="32"/>
        </w:rPr>
        <w:t>。</w:t>
      </w:r>
      <w:r>
        <w:rPr>
          <w:rFonts w:hint="eastAsia" w:ascii="Times New Roman" w:hAnsi="仿宋_GB2312" w:eastAsia="仿宋_GB2312" w:cs="仿宋_GB2312"/>
          <w:sz w:val="32"/>
          <w:szCs w:val="32"/>
          <w:lang w:val="en-US" w:eastAsia="zh-CN"/>
        </w:rPr>
        <w:t>由原来的液体乳、乳粉、其他乳制品</w:t>
      </w:r>
      <w:r>
        <w:rPr>
          <w:rFonts w:hint="eastAsia" w:ascii="Times New Roman" w:hAnsi="仿宋_GB2312" w:cs="仿宋_GB2312"/>
          <w:sz w:val="32"/>
          <w:szCs w:val="32"/>
          <w:lang w:val="en-US" w:eastAsia="zh-CN"/>
        </w:rPr>
        <w:t>3</w:t>
      </w:r>
      <w:r>
        <w:rPr>
          <w:rFonts w:hint="eastAsia" w:ascii="Times New Roman" w:hAnsi="仿宋_GB2312" w:eastAsia="仿宋_GB2312" w:cs="仿宋_GB2312"/>
          <w:sz w:val="32"/>
          <w:szCs w:val="32"/>
          <w:lang w:val="en-US" w:eastAsia="zh-CN"/>
        </w:rPr>
        <w:t>个类别</w:t>
      </w:r>
      <w:r>
        <w:rPr>
          <w:rFonts w:hint="eastAsia" w:ascii="Times New Roman" w:hAnsi="仿宋_GB2312" w:cs="仿宋_GB2312"/>
          <w:sz w:val="32"/>
          <w:szCs w:val="32"/>
          <w:lang w:val="en-US" w:eastAsia="zh-CN"/>
        </w:rPr>
        <w:t>调整细化</w:t>
      </w:r>
      <w:r>
        <w:rPr>
          <w:rFonts w:hint="eastAsia" w:ascii="Times New Roman" w:hAnsi="仿宋_GB2312" w:eastAsia="仿宋_GB2312" w:cs="仿宋_GB2312"/>
          <w:sz w:val="32"/>
          <w:szCs w:val="32"/>
          <w:lang w:val="en-US" w:eastAsia="zh-CN"/>
        </w:rPr>
        <w:t>为</w:t>
      </w:r>
      <w:r>
        <w:rPr>
          <w:rFonts w:hint="eastAsia" w:ascii="Times New Roman" w:hAnsi="仿宋_GB2312" w:cs="仿宋_GB2312"/>
          <w:sz w:val="32"/>
          <w:szCs w:val="32"/>
          <w:lang w:val="en-US" w:eastAsia="zh-CN"/>
        </w:rPr>
        <w:t>液体乳、发酵乳、乳粉、浓缩乳制品、乳脂制品、干酪及其制品、乳清及其制品、特色畜种乳制品、地方特色乳制品、婴幼儿配方乳粉用基粉和其他乳制品等11类</w:t>
      </w:r>
      <w:r>
        <w:rPr>
          <w:rFonts w:hint="eastAsia" w:ascii="Times New Roman" w:hAnsi="仿宋_GB2312" w:cs="仿宋_GB2312"/>
          <w:sz w:val="32"/>
          <w:szCs w:val="32"/>
        </w:rPr>
        <w:t>许可类别</w:t>
      </w:r>
      <w:r>
        <w:rPr>
          <w:rFonts w:hint="eastAsia" w:ascii="Times New Roman" w:hAnsi="仿宋_GB2312" w:cs="仿宋_GB2312"/>
          <w:sz w:val="32"/>
          <w:szCs w:val="32"/>
          <w:lang w:eastAsia="zh-CN"/>
        </w:rPr>
        <w:t>，</w:t>
      </w:r>
      <w:r>
        <w:rPr>
          <w:rFonts w:hint="eastAsia" w:ascii="Times New Roman" w:hAnsi="仿宋_GB2312" w:cs="仿宋_GB2312"/>
          <w:sz w:val="32"/>
          <w:szCs w:val="32"/>
        </w:rPr>
        <w:t>通过明确、细化许可类别及产品明细，提高《细则》的实际操作性。</w:t>
      </w:r>
    </w:p>
    <w:p>
      <w:pPr>
        <w:keepNext w:val="0"/>
        <w:keepLines w:val="0"/>
        <w:pageBreakBefore w:val="0"/>
        <w:widowControl w:val="0"/>
        <w:kinsoku/>
        <w:wordWrap/>
        <w:overflowPunct/>
        <w:topLinePunct w:val="0"/>
        <w:autoSpaceDE/>
        <w:autoSpaceDN/>
        <w:bidi w:val="0"/>
        <w:spacing w:line="594" w:lineRule="exact"/>
        <w:ind w:firstLine="480" w:firstLineChars="150"/>
        <w:jc w:val="both"/>
        <w:textAlignment w:val="auto"/>
        <w:rPr>
          <w:rFonts w:ascii="Times New Roman" w:hAnsi="Times New Roman"/>
          <w:sz w:val="32"/>
          <w:szCs w:val="32"/>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四</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完善</w:t>
      </w:r>
      <w:r>
        <w:rPr>
          <w:rFonts w:hint="eastAsia" w:ascii="楷体_GB2312" w:hAnsi="楷体_GB2312" w:eastAsia="楷体_GB2312" w:cs="楷体_GB2312"/>
          <w:b w:val="0"/>
          <w:bCs/>
          <w:sz w:val="32"/>
          <w:szCs w:val="32"/>
        </w:rPr>
        <w:t>生产场所</w:t>
      </w:r>
      <w:r>
        <w:rPr>
          <w:rFonts w:hint="eastAsia" w:ascii="楷体_GB2312" w:hAnsi="楷体_GB2312" w:eastAsia="楷体_GB2312" w:cs="楷体_GB2312"/>
          <w:b w:val="0"/>
          <w:bCs/>
          <w:sz w:val="32"/>
          <w:szCs w:val="32"/>
          <w:lang w:val="en-US" w:eastAsia="zh-CN"/>
        </w:rPr>
        <w:t>要求。</w:t>
      </w:r>
      <w:r>
        <w:rPr>
          <w:rFonts w:hint="eastAsia" w:ascii="Times New Roman" w:hAnsi="Times New Roman"/>
          <w:sz w:val="32"/>
          <w:szCs w:val="32"/>
        </w:rPr>
        <w:t>细化厂房选址和厂区环境的要求，</w:t>
      </w:r>
      <w:r>
        <w:rPr>
          <w:rFonts w:hint="eastAsia" w:ascii="Times New Roman" w:hAnsi="Times New Roman"/>
          <w:sz w:val="32"/>
          <w:szCs w:val="32"/>
          <w:lang w:val="en-US" w:eastAsia="zh-CN"/>
        </w:rPr>
        <w:t>列出了常规生产场所，</w:t>
      </w:r>
      <w:r>
        <w:rPr>
          <w:rFonts w:hint="eastAsia" w:ascii="Times New Roman" w:hAnsi="Times New Roman"/>
          <w:sz w:val="32"/>
          <w:szCs w:val="32"/>
        </w:rPr>
        <w:t>根据产品工艺特性调整部分生产作业区的洁净度要求，增加清洁作业区的卫生和出入控制要求，增加</w:t>
      </w:r>
      <w:r>
        <w:rPr>
          <w:rFonts w:hint="eastAsia" w:ascii="Times New Roman" w:hAnsi="Times New Roman"/>
          <w:sz w:val="32"/>
          <w:szCs w:val="32"/>
          <w:lang w:val="en-US" w:eastAsia="zh-CN"/>
        </w:rPr>
        <w:t>检验室、</w:t>
      </w:r>
      <w:r>
        <w:rPr>
          <w:rFonts w:hint="eastAsia" w:ascii="Times New Roman" w:hAnsi="Times New Roman"/>
          <w:sz w:val="32"/>
          <w:szCs w:val="32"/>
        </w:rPr>
        <w:t>仓储场所和接收</w:t>
      </w:r>
      <w:r>
        <w:rPr>
          <w:rFonts w:hint="eastAsia" w:ascii="Times New Roman" w:hAnsi="Times New Roman"/>
          <w:sz w:val="32"/>
          <w:szCs w:val="32"/>
          <w:lang w:val="en-US" w:eastAsia="zh-CN"/>
        </w:rPr>
        <w:t>与</w:t>
      </w:r>
      <w:r>
        <w:rPr>
          <w:rFonts w:hint="eastAsia" w:ascii="Times New Roman" w:hAnsi="Times New Roman"/>
          <w:sz w:val="32"/>
          <w:szCs w:val="32"/>
        </w:rPr>
        <w:t>发放区域的要求。</w:t>
      </w:r>
    </w:p>
    <w:p>
      <w:pPr>
        <w:keepNext w:val="0"/>
        <w:keepLines w:val="0"/>
        <w:pageBreakBefore w:val="0"/>
        <w:widowControl w:val="0"/>
        <w:kinsoku/>
        <w:wordWrap/>
        <w:overflowPunct/>
        <w:topLinePunct w:val="0"/>
        <w:autoSpaceDE/>
        <w:autoSpaceDN/>
        <w:bidi w:val="0"/>
        <w:spacing w:line="594" w:lineRule="exact"/>
        <w:ind w:firstLine="480" w:firstLineChars="150"/>
        <w:jc w:val="both"/>
        <w:textAlignment w:val="auto"/>
        <w:rPr>
          <w:rFonts w:ascii="Times New Roman" w:hAnsi="Times New Roman"/>
          <w:sz w:val="32"/>
          <w:szCs w:val="32"/>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五</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修订</w:t>
      </w:r>
      <w:r>
        <w:rPr>
          <w:rFonts w:hint="eastAsia" w:ascii="楷体_GB2312" w:hAnsi="楷体_GB2312" w:eastAsia="楷体_GB2312" w:cs="楷体_GB2312"/>
          <w:b w:val="0"/>
          <w:bCs/>
          <w:sz w:val="32"/>
          <w:szCs w:val="32"/>
        </w:rPr>
        <w:t>设备设施</w:t>
      </w:r>
      <w:r>
        <w:rPr>
          <w:rFonts w:hint="eastAsia" w:ascii="楷体_GB2312" w:hAnsi="楷体_GB2312" w:eastAsia="楷体_GB2312" w:cs="楷体_GB2312"/>
          <w:b w:val="0"/>
          <w:bCs/>
          <w:sz w:val="32"/>
          <w:szCs w:val="32"/>
          <w:lang w:eastAsia="zh-CN"/>
        </w:rPr>
        <w:t>与工艺流程</w:t>
      </w:r>
      <w:r>
        <w:rPr>
          <w:rFonts w:hint="eastAsia" w:ascii="楷体_GB2312" w:hAnsi="楷体_GB2312" w:eastAsia="楷体_GB2312" w:cs="楷体_GB2312"/>
          <w:b w:val="0"/>
          <w:bCs/>
          <w:sz w:val="32"/>
          <w:szCs w:val="32"/>
          <w:lang w:val="en-US" w:eastAsia="zh-CN"/>
        </w:rPr>
        <w:t>要求。</w:t>
      </w:r>
      <w:r>
        <w:rPr>
          <w:rFonts w:hint="eastAsia" w:ascii="Times New Roman" w:hAnsi="Times New Roman" w:cs="宋体"/>
          <w:sz w:val="32"/>
          <w:szCs w:val="32"/>
          <w:lang w:val="en-US" w:eastAsia="zh-CN"/>
        </w:rPr>
        <w:t>一是细</w:t>
      </w:r>
      <w:r>
        <w:rPr>
          <w:rFonts w:hint="eastAsia" w:ascii="Times New Roman" w:hAnsi="Times New Roman"/>
          <w:sz w:val="32"/>
          <w:szCs w:val="32"/>
          <w:lang w:eastAsia="zh-CN"/>
        </w:rPr>
        <w:t>化</w:t>
      </w:r>
      <w:r>
        <w:rPr>
          <w:rFonts w:hint="eastAsia" w:ascii="Times New Roman" w:hAnsi="Times New Roman"/>
          <w:sz w:val="32"/>
          <w:szCs w:val="32"/>
          <w:lang w:val="en-US" w:eastAsia="zh-CN"/>
        </w:rPr>
        <w:t>列明乳制品生产常规用设备设施，</w:t>
      </w:r>
      <w:r>
        <w:rPr>
          <w:rFonts w:hint="eastAsia" w:ascii="Times New Roman" w:hAnsi="Times New Roman"/>
          <w:sz w:val="32"/>
          <w:szCs w:val="32"/>
        </w:rPr>
        <w:t>增加</w:t>
      </w:r>
      <w:r>
        <w:rPr>
          <w:rFonts w:hint="eastAsia" w:ascii="Times New Roman" w:hAnsi="Times New Roman"/>
          <w:sz w:val="32"/>
          <w:szCs w:val="32"/>
          <w:lang w:val="en-US" w:eastAsia="zh-CN"/>
        </w:rPr>
        <w:t>运行状态标识要求、</w:t>
      </w:r>
      <w:r>
        <w:rPr>
          <w:rFonts w:hint="eastAsia" w:ascii="Times New Roman" w:hAnsi="Times New Roman"/>
          <w:sz w:val="32"/>
          <w:szCs w:val="32"/>
        </w:rPr>
        <w:t>供水设施、排水设施、清洁消毒设施、废弃物</w:t>
      </w:r>
      <w:r>
        <w:rPr>
          <w:rFonts w:hint="eastAsia" w:ascii="Times New Roman" w:hAnsi="Times New Roman"/>
          <w:sz w:val="32"/>
          <w:szCs w:val="32"/>
          <w:lang w:val="en-US" w:eastAsia="zh-CN"/>
        </w:rPr>
        <w:t>存放</w:t>
      </w:r>
      <w:r>
        <w:rPr>
          <w:rFonts w:hint="eastAsia" w:ascii="Times New Roman" w:hAnsi="Times New Roman"/>
          <w:sz w:val="32"/>
          <w:szCs w:val="32"/>
        </w:rPr>
        <w:t>设施、</w:t>
      </w:r>
      <w:r>
        <w:rPr>
          <w:rFonts w:hint="eastAsia" w:ascii="Times New Roman" w:hAnsi="Times New Roman"/>
          <w:sz w:val="32"/>
          <w:szCs w:val="32"/>
          <w:lang w:val="en-US" w:eastAsia="zh-CN"/>
        </w:rPr>
        <w:t>卫生设施、工作服、卫生间、</w:t>
      </w:r>
      <w:r>
        <w:rPr>
          <w:rFonts w:hint="eastAsia" w:ascii="Times New Roman" w:hAnsi="Times New Roman"/>
          <w:sz w:val="32"/>
          <w:szCs w:val="32"/>
        </w:rPr>
        <w:t>干燥塔和流化床配置的空气过滤设备、空</w:t>
      </w:r>
      <w:r>
        <w:rPr>
          <w:rFonts w:hint="eastAsia" w:ascii="Times New Roman" w:hAnsi="Times New Roman"/>
          <w:sz w:val="32"/>
          <w:szCs w:val="32"/>
          <w:lang w:val="en-US" w:eastAsia="zh-CN"/>
        </w:rPr>
        <w:t>调</w:t>
      </w:r>
      <w:r>
        <w:rPr>
          <w:rFonts w:hint="eastAsia" w:ascii="Times New Roman" w:hAnsi="Times New Roman"/>
          <w:sz w:val="32"/>
          <w:szCs w:val="32"/>
        </w:rPr>
        <w:t>系统、空气过滤系统</w:t>
      </w:r>
      <w:r>
        <w:rPr>
          <w:rFonts w:hint="eastAsia" w:ascii="Times New Roman" w:hAnsi="Times New Roman"/>
          <w:sz w:val="32"/>
          <w:szCs w:val="32"/>
          <w:lang w:eastAsia="zh-CN"/>
        </w:rPr>
        <w:t>、</w:t>
      </w:r>
      <w:r>
        <w:rPr>
          <w:rFonts w:hint="eastAsia" w:ascii="Times New Roman" w:hAnsi="Times New Roman"/>
          <w:sz w:val="32"/>
          <w:szCs w:val="32"/>
        </w:rPr>
        <w:t>除尘设备</w:t>
      </w:r>
      <w:r>
        <w:rPr>
          <w:rFonts w:hint="eastAsia" w:ascii="Times New Roman" w:hAnsi="Times New Roman"/>
          <w:sz w:val="32"/>
          <w:szCs w:val="32"/>
          <w:lang w:eastAsia="zh-CN"/>
        </w:rPr>
        <w:t>、</w:t>
      </w:r>
      <w:r>
        <w:rPr>
          <w:rFonts w:hint="eastAsia" w:ascii="Times New Roman" w:hAnsi="Times New Roman"/>
          <w:sz w:val="32"/>
          <w:szCs w:val="32"/>
        </w:rPr>
        <w:t>照明设施、</w:t>
      </w:r>
      <w:r>
        <w:rPr>
          <w:rFonts w:hint="eastAsia" w:ascii="Times New Roman" w:hAnsi="Times New Roman"/>
          <w:sz w:val="32"/>
          <w:szCs w:val="32"/>
          <w:lang w:val="en-US" w:eastAsia="zh-CN"/>
        </w:rPr>
        <w:t>和检验设备设施</w:t>
      </w:r>
      <w:r>
        <w:rPr>
          <w:rFonts w:hint="eastAsia" w:ascii="Times New Roman" w:hAnsi="Times New Roman"/>
          <w:sz w:val="32"/>
          <w:szCs w:val="32"/>
        </w:rPr>
        <w:t>等具体技术要求。</w:t>
      </w:r>
      <w:r>
        <w:rPr>
          <w:rFonts w:hint="eastAsia" w:ascii="Times New Roman" w:hAnsi="Times New Roman"/>
          <w:sz w:val="32"/>
          <w:szCs w:val="32"/>
          <w:lang w:eastAsia="zh-CN"/>
        </w:rPr>
        <w:t>二是</w:t>
      </w:r>
      <w:r>
        <w:rPr>
          <w:rFonts w:hint="eastAsia" w:ascii="Times New Roman" w:hAnsi="Times New Roman"/>
          <w:sz w:val="32"/>
          <w:szCs w:val="32"/>
          <w:lang w:val="en-US" w:eastAsia="zh-CN"/>
        </w:rPr>
        <w:t>列出</w:t>
      </w:r>
      <w:r>
        <w:rPr>
          <w:rFonts w:hint="eastAsia" w:ascii="Times New Roman" w:hAnsi="Times New Roman"/>
          <w:sz w:val="32"/>
          <w:szCs w:val="32"/>
          <w:lang w:eastAsia="zh-CN"/>
        </w:rPr>
        <w:t>乳制品</w:t>
      </w:r>
      <w:r>
        <w:rPr>
          <w:rFonts w:hint="eastAsia" w:ascii="Times New Roman" w:hAnsi="Times New Roman"/>
          <w:sz w:val="32"/>
          <w:szCs w:val="32"/>
        </w:rPr>
        <w:t>的生产工艺</w:t>
      </w:r>
      <w:r>
        <w:rPr>
          <w:rFonts w:hint="eastAsia" w:ascii="Times New Roman" w:hAnsi="Times New Roman"/>
          <w:sz w:val="32"/>
          <w:szCs w:val="32"/>
          <w:lang w:eastAsia="zh-CN"/>
        </w:rPr>
        <w:t>流程，</w:t>
      </w:r>
      <w:r>
        <w:rPr>
          <w:rFonts w:hint="eastAsia" w:ascii="Times New Roman" w:hAnsi="Times New Roman"/>
          <w:sz w:val="32"/>
          <w:szCs w:val="32"/>
        </w:rPr>
        <w:t>规定企业应通过危害分析方法明确影响产品质量的关键工序或关键控制点，并制定操作规程或作业指导书。</w:t>
      </w:r>
    </w:p>
    <w:p>
      <w:pPr>
        <w:keepNext w:val="0"/>
        <w:keepLines w:val="0"/>
        <w:pageBreakBefore w:val="0"/>
        <w:widowControl w:val="0"/>
        <w:kinsoku/>
        <w:wordWrap/>
        <w:overflowPunct/>
        <w:topLinePunct w:val="0"/>
        <w:autoSpaceDE/>
        <w:autoSpaceDN/>
        <w:bidi w:val="0"/>
        <w:spacing w:line="594" w:lineRule="exact"/>
        <w:ind w:firstLine="480" w:firstLineChars="150"/>
        <w:jc w:val="both"/>
        <w:textAlignment w:val="auto"/>
        <w:rPr>
          <w:rFonts w:ascii="Times New Roman" w:hAnsi="Times New Roman"/>
          <w:sz w:val="32"/>
          <w:szCs w:val="32"/>
        </w:rPr>
      </w:pPr>
      <w:r>
        <w:rPr>
          <w:rFonts w:hint="eastAsia" w:ascii="楷体_GB2312" w:hAnsi="楷体_GB2312" w:eastAsia="楷体_GB2312" w:cs="楷体_GB2312"/>
          <w:b w:val="0"/>
          <w:bCs/>
          <w:sz w:val="32"/>
          <w:szCs w:val="32"/>
          <w:lang w:eastAsia="zh-CN"/>
        </w:rPr>
        <w:t>（六）</w:t>
      </w:r>
      <w:r>
        <w:rPr>
          <w:rFonts w:hint="eastAsia" w:ascii="楷体_GB2312" w:hAnsi="楷体_GB2312" w:eastAsia="楷体_GB2312" w:cs="楷体_GB2312"/>
          <w:b w:val="0"/>
          <w:bCs/>
          <w:sz w:val="32"/>
          <w:szCs w:val="32"/>
          <w:lang w:val="en-US" w:eastAsia="zh-CN"/>
        </w:rPr>
        <w:t>完善</w:t>
      </w:r>
      <w:r>
        <w:rPr>
          <w:rFonts w:hint="eastAsia" w:ascii="楷体_GB2312" w:hAnsi="楷体_GB2312" w:eastAsia="楷体_GB2312" w:cs="楷体_GB2312"/>
          <w:b w:val="0"/>
          <w:bCs/>
          <w:sz w:val="32"/>
          <w:szCs w:val="32"/>
        </w:rPr>
        <w:t>人员管理</w:t>
      </w:r>
      <w:r>
        <w:rPr>
          <w:rFonts w:hint="eastAsia" w:ascii="楷体_GB2312" w:hAnsi="楷体_GB2312" w:eastAsia="楷体_GB2312" w:cs="楷体_GB2312"/>
          <w:b w:val="0"/>
          <w:bCs/>
          <w:sz w:val="32"/>
          <w:szCs w:val="32"/>
          <w:lang w:val="en-US" w:eastAsia="zh-CN"/>
        </w:rPr>
        <w:t>的要求。</w:t>
      </w:r>
      <w:r>
        <w:rPr>
          <w:rFonts w:hint="eastAsia" w:ascii="Times New Roman" w:hAnsi="Times New Roman" w:cs="宋体"/>
          <w:sz w:val="32"/>
          <w:szCs w:val="32"/>
          <w:lang w:val="en-US" w:eastAsia="zh-CN"/>
        </w:rPr>
        <w:t>一是增加</w:t>
      </w:r>
      <w:r>
        <w:rPr>
          <w:rFonts w:hint="eastAsia" w:ascii="Times New Roman" w:hAnsi="Times New Roman"/>
          <w:sz w:val="32"/>
          <w:szCs w:val="32"/>
          <w:lang w:val="en-US" w:eastAsia="zh-CN"/>
        </w:rPr>
        <w:t>企业负责人、</w:t>
      </w:r>
      <w:r>
        <w:rPr>
          <w:rFonts w:ascii="Times New Roman" w:hAnsi="Times New Roman"/>
          <w:sz w:val="32"/>
          <w:szCs w:val="32"/>
        </w:rPr>
        <w:t>食品安全</w:t>
      </w:r>
      <w:r>
        <w:rPr>
          <w:rFonts w:hint="eastAsia" w:ascii="Times New Roman" w:hAnsi="Times New Roman"/>
          <w:sz w:val="32"/>
          <w:szCs w:val="32"/>
          <w:lang w:val="en-US" w:eastAsia="zh-CN"/>
        </w:rPr>
        <w:t>总监和食品安全员等食品安全管理人员</w:t>
      </w:r>
      <w:r>
        <w:rPr>
          <w:rFonts w:ascii="Times New Roman" w:hAnsi="Times New Roman"/>
          <w:sz w:val="32"/>
          <w:szCs w:val="32"/>
        </w:rPr>
        <w:t>的要求</w:t>
      </w:r>
      <w:r>
        <w:rPr>
          <w:rFonts w:hint="eastAsia" w:ascii="Times New Roman" w:hAnsi="Times New Roman"/>
          <w:sz w:val="32"/>
          <w:szCs w:val="32"/>
        </w:rPr>
        <w:t>；</w:t>
      </w:r>
      <w:r>
        <w:rPr>
          <w:rFonts w:hint="eastAsia" w:ascii="Times New Roman" w:hAnsi="Times New Roman"/>
          <w:sz w:val="32"/>
          <w:szCs w:val="32"/>
          <w:lang w:eastAsia="zh-CN"/>
        </w:rPr>
        <w:t>优化</w:t>
      </w:r>
      <w:r>
        <w:rPr>
          <w:rFonts w:ascii="Times New Roman" w:hAnsi="Times New Roman"/>
          <w:sz w:val="32"/>
          <w:szCs w:val="32"/>
        </w:rPr>
        <w:t>食品安全</w:t>
      </w:r>
      <w:r>
        <w:rPr>
          <w:rFonts w:hint="eastAsia" w:ascii="Times New Roman" w:hAnsi="Times New Roman"/>
          <w:sz w:val="32"/>
          <w:szCs w:val="32"/>
          <w:lang w:eastAsia="zh-CN"/>
        </w:rPr>
        <w:t>专业</w:t>
      </w:r>
      <w:r>
        <w:rPr>
          <w:rFonts w:hint="eastAsia" w:ascii="Times New Roman" w:hAnsi="Times New Roman"/>
          <w:sz w:val="32"/>
          <w:szCs w:val="32"/>
          <w:lang w:val="en-US" w:eastAsia="zh-CN"/>
        </w:rPr>
        <w:t>技术人员</w:t>
      </w:r>
      <w:r>
        <w:rPr>
          <w:rFonts w:ascii="Times New Roman" w:hAnsi="Times New Roman"/>
          <w:sz w:val="32"/>
          <w:szCs w:val="32"/>
        </w:rPr>
        <w:t>的资质要求，要求具有专科学历或</w:t>
      </w:r>
      <w:r>
        <w:rPr>
          <w:rFonts w:hint="eastAsia" w:ascii="Times New Roman" w:hAnsi="Times New Roman"/>
          <w:sz w:val="32"/>
          <w:szCs w:val="32"/>
          <w:lang w:val="en-US" w:eastAsia="zh-CN"/>
        </w:rPr>
        <w:t>至少1</w:t>
      </w:r>
      <w:r>
        <w:rPr>
          <w:rFonts w:ascii="Times New Roman" w:hAnsi="Times New Roman"/>
          <w:sz w:val="32"/>
          <w:szCs w:val="32"/>
        </w:rPr>
        <w:t>年</w:t>
      </w:r>
      <w:r>
        <w:rPr>
          <w:rFonts w:hint="eastAsia" w:ascii="Times New Roman" w:hAnsi="Times New Roman"/>
          <w:sz w:val="32"/>
          <w:szCs w:val="32"/>
          <w:lang w:eastAsia="zh-CN"/>
        </w:rPr>
        <w:t>相关</w:t>
      </w:r>
      <w:r>
        <w:rPr>
          <w:rFonts w:hint="eastAsia" w:ascii="Times New Roman" w:hAnsi="Times New Roman"/>
          <w:sz w:val="32"/>
          <w:szCs w:val="32"/>
        </w:rPr>
        <w:t>工作经验</w:t>
      </w:r>
      <w:r>
        <w:rPr>
          <w:rFonts w:hint="eastAsia" w:ascii="Times New Roman" w:hAnsi="Times New Roman"/>
          <w:sz w:val="32"/>
          <w:szCs w:val="32"/>
          <w:lang w:eastAsia="zh-CN"/>
        </w:rPr>
        <w:t>。二是</w:t>
      </w:r>
      <w:r>
        <w:rPr>
          <w:rFonts w:hint="eastAsia" w:ascii="Times New Roman" w:hAnsi="Times New Roman"/>
          <w:sz w:val="32"/>
          <w:szCs w:val="32"/>
          <w:lang w:val="en-US" w:eastAsia="zh-CN"/>
        </w:rPr>
        <w:t>增加检验室负责人的学历资质要求，要求</w:t>
      </w:r>
      <w:r>
        <w:rPr>
          <w:rFonts w:hint="default" w:ascii="Times New Roman" w:hAnsi="Times New Roman" w:eastAsia="仿宋_GB2312" w:cs="Times New Roman"/>
          <w:bCs/>
          <w:kern w:val="0"/>
          <w:sz w:val="32"/>
          <w:szCs w:val="32"/>
          <w:lang w:val="en-US" w:eastAsia="zh-CN"/>
        </w:rPr>
        <w:t>专</w:t>
      </w:r>
      <w:r>
        <w:rPr>
          <w:rFonts w:hint="default" w:ascii="Times New Roman" w:hAnsi="Times New Roman" w:eastAsia="仿宋_GB2312" w:cs="Times New Roman"/>
          <w:bCs/>
          <w:kern w:val="0"/>
          <w:sz w:val="32"/>
          <w:szCs w:val="32"/>
        </w:rPr>
        <w:t>科及以上学历且有</w:t>
      </w:r>
      <w:r>
        <w:rPr>
          <w:rFonts w:hint="default" w:ascii="Times New Roman" w:hAnsi="Times New Roman" w:eastAsia="仿宋_GB2312" w:cs="Times New Roman"/>
          <w:bCs/>
          <w:kern w:val="0"/>
          <w:sz w:val="32"/>
          <w:szCs w:val="32"/>
          <w:lang w:val="en-US" w:eastAsia="zh-CN"/>
        </w:rPr>
        <w:t>至少</w:t>
      </w:r>
      <w:r>
        <w:rPr>
          <w:rFonts w:hint="default" w:ascii="Times New Roman" w:hAnsi="Times New Roman" w:eastAsia="仿宋_GB2312" w:cs="Times New Roman"/>
          <w:bCs/>
          <w:kern w:val="0"/>
          <w:sz w:val="32"/>
          <w:szCs w:val="32"/>
        </w:rPr>
        <w:t>3年相关工作经历</w:t>
      </w:r>
      <w:r>
        <w:rPr>
          <w:rFonts w:hint="eastAsia" w:ascii="Times New Roman" w:hAnsi="Times New Roman" w:cs="Times New Roman"/>
          <w:bCs/>
          <w:kern w:val="0"/>
          <w:sz w:val="32"/>
          <w:szCs w:val="32"/>
          <w:lang w:eastAsia="zh-CN"/>
        </w:rPr>
        <w:t>，</w:t>
      </w:r>
      <w:r>
        <w:rPr>
          <w:rFonts w:hint="eastAsia" w:ascii="Times New Roman" w:hAnsi="Times New Roman"/>
          <w:sz w:val="32"/>
          <w:szCs w:val="32"/>
          <w:lang w:eastAsia="zh-CN"/>
        </w:rPr>
        <w:t>调整</w:t>
      </w:r>
      <w:r>
        <w:rPr>
          <w:rFonts w:ascii="Times New Roman" w:hAnsi="Times New Roman"/>
          <w:sz w:val="32"/>
          <w:szCs w:val="32"/>
        </w:rPr>
        <w:t>检测人员</w:t>
      </w:r>
      <w:r>
        <w:rPr>
          <w:rFonts w:hint="eastAsia" w:ascii="Times New Roman" w:hAnsi="Times New Roman"/>
          <w:sz w:val="32"/>
          <w:szCs w:val="32"/>
        </w:rPr>
        <w:t>学</w:t>
      </w:r>
      <w:r>
        <w:rPr>
          <w:rFonts w:ascii="Times New Roman" w:hAnsi="Times New Roman"/>
          <w:sz w:val="32"/>
          <w:szCs w:val="32"/>
        </w:rPr>
        <w:t>历要求为专科或具有1年</w:t>
      </w:r>
      <w:r>
        <w:rPr>
          <w:rFonts w:hint="eastAsia" w:ascii="Times New Roman" w:hAnsi="Times New Roman"/>
          <w:sz w:val="32"/>
          <w:szCs w:val="32"/>
        </w:rPr>
        <w:t>以上食品检测工作经历。</w:t>
      </w:r>
      <w:r>
        <w:rPr>
          <w:rFonts w:hint="eastAsia" w:ascii="Times New Roman" w:hAnsi="Times New Roman"/>
          <w:sz w:val="32"/>
          <w:szCs w:val="32"/>
          <w:lang w:eastAsia="zh-CN"/>
        </w:rPr>
        <w:t>三是</w:t>
      </w:r>
      <w:r>
        <w:rPr>
          <w:rFonts w:hint="eastAsia" w:ascii="Times New Roman" w:hAnsi="Times New Roman"/>
          <w:sz w:val="32"/>
          <w:szCs w:val="32"/>
        </w:rPr>
        <w:t>细化人员培训管理要求</w:t>
      </w:r>
      <w:r>
        <w:rPr>
          <w:rFonts w:hint="eastAsia" w:ascii="Times New Roman" w:hAnsi="Times New Roman"/>
          <w:sz w:val="32"/>
          <w:szCs w:val="32"/>
          <w:lang w:eastAsia="zh-CN"/>
        </w:rPr>
        <w:t>，定期组织培训考核</w:t>
      </w:r>
      <w:r>
        <w:rPr>
          <w:rFonts w:hint="eastAsia" w:ascii="Times New Roman" w:hAnsi="Times New Roman"/>
          <w:sz w:val="32"/>
          <w:szCs w:val="32"/>
        </w:rPr>
        <w:t>。</w:t>
      </w:r>
    </w:p>
    <w:p>
      <w:pPr>
        <w:keepNext w:val="0"/>
        <w:keepLines w:val="0"/>
        <w:pageBreakBefore w:val="0"/>
        <w:widowControl w:val="0"/>
        <w:kinsoku/>
        <w:wordWrap/>
        <w:overflowPunct/>
        <w:topLinePunct w:val="0"/>
        <w:autoSpaceDE/>
        <w:autoSpaceDN/>
        <w:bidi w:val="0"/>
        <w:spacing w:line="594" w:lineRule="exact"/>
        <w:ind w:firstLine="480" w:firstLineChars="150"/>
        <w:jc w:val="both"/>
        <w:textAlignment w:val="auto"/>
        <w:rPr>
          <w:rFonts w:ascii="Times New Roman" w:hAnsi="Times New Roman"/>
          <w:sz w:val="32"/>
          <w:szCs w:val="32"/>
        </w:rPr>
      </w:pP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七</w:t>
      </w:r>
      <w:r>
        <w:rPr>
          <w:rFonts w:hint="eastAsia" w:ascii="楷体_GB2312" w:hAnsi="楷体_GB2312" w:eastAsia="楷体_GB2312" w:cs="楷体_GB2312"/>
          <w:b w:val="0"/>
          <w:bCs/>
          <w:sz w:val="32"/>
          <w:szCs w:val="32"/>
        </w:rPr>
        <w:t>）</w:t>
      </w:r>
      <w:r>
        <w:rPr>
          <w:rFonts w:hint="eastAsia" w:ascii="楷体_GB2312" w:hAnsi="楷体_GB2312" w:eastAsia="楷体_GB2312" w:cs="楷体_GB2312"/>
          <w:b w:val="0"/>
          <w:bCs/>
          <w:sz w:val="32"/>
          <w:szCs w:val="32"/>
          <w:lang w:val="en-US" w:eastAsia="zh-CN"/>
        </w:rPr>
        <w:t>强化</w:t>
      </w:r>
      <w:r>
        <w:rPr>
          <w:rFonts w:hint="eastAsia" w:ascii="楷体_GB2312" w:hAnsi="楷体_GB2312" w:eastAsia="楷体_GB2312" w:cs="楷体_GB2312"/>
          <w:b w:val="0"/>
          <w:bCs/>
          <w:sz w:val="32"/>
          <w:szCs w:val="32"/>
        </w:rPr>
        <w:t>管理制度</w:t>
      </w:r>
      <w:r>
        <w:rPr>
          <w:rFonts w:hint="eastAsia" w:ascii="楷体_GB2312" w:hAnsi="楷体_GB2312" w:eastAsia="楷体_GB2312" w:cs="楷体_GB2312"/>
          <w:b w:val="0"/>
          <w:bCs/>
          <w:sz w:val="32"/>
          <w:szCs w:val="32"/>
          <w:lang w:val="en-US" w:eastAsia="zh-CN"/>
        </w:rPr>
        <w:t>要求。</w:t>
      </w:r>
      <w:r>
        <w:rPr>
          <w:rFonts w:hint="eastAsia" w:ascii="Times New Roman" w:hAnsi="Times New Roman" w:cs="宋体"/>
          <w:sz w:val="32"/>
          <w:szCs w:val="32"/>
          <w:lang w:eastAsia="zh-CN"/>
        </w:rPr>
        <w:t>细化增加</w:t>
      </w:r>
      <w:r>
        <w:rPr>
          <w:rFonts w:ascii="Times New Roman" w:hAnsi="Times New Roman"/>
          <w:sz w:val="32"/>
          <w:szCs w:val="32"/>
        </w:rPr>
        <w:t>企业</w:t>
      </w:r>
      <w:r>
        <w:rPr>
          <w:rFonts w:hint="eastAsia" w:ascii="Times New Roman" w:hAnsi="Times New Roman"/>
          <w:sz w:val="32"/>
          <w:szCs w:val="32"/>
          <w:lang w:eastAsia="zh-CN"/>
        </w:rPr>
        <w:t>各项</w:t>
      </w:r>
      <w:r>
        <w:rPr>
          <w:rFonts w:ascii="Times New Roman" w:hAnsi="Times New Roman"/>
          <w:sz w:val="32"/>
          <w:szCs w:val="32"/>
        </w:rPr>
        <w:t>食品安全管理制度要求</w:t>
      </w:r>
      <w:r>
        <w:rPr>
          <w:rFonts w:hint="eastAsia" w:ascii="Times New Roman" w:hAnsi="Times New Roman"/>
          <w:sz w:val="32"/>
          <w:szCs w:val="32"/>
        </w:rPr>
        <w:t>。</w:t>
      </w:r>
      <w:r>
        <w:rPr>
          <w:rFonts w:hint="eastAsia" w:ascii="Times New Roman" w:hAnsi="Times New Roman"/>
          <w:sz w:val="32"/>
          <w:szCs w:val="32"/>
          <w:lang w:eastAsia="zh-CN"/>
        </w:rPr>
        <w:t>对</w:t>
      </w:r>
      <w:r>
        <w:rPr>
          <w:rFonts w:hint="eastAsia" w:ascii="Times New Roman" w:hAnsi="Times New Roman"/>
          <w:sz w:val="32"/>
          <w:szCs w:val="32"/>
          <w:lang w:val="en-US" w:eastAsia="zh-CN"/>
        </w:rPr>
        <w:t>原料供应商审核、进货查验、物料储存和分发、生产过程食品安全控制、卫生管理、设备设施管理、检验管理、运输管理、质量安全追溯、食品安全风险防控动态管理、不合格品管理、产品召回、食品安全事故处理、文件及记录管理等作出明确规定，</w:t>
      </w:r>
      <w:r>
        <w:rPr>
          <w:rFonts w:hint="eastAsia" w:ascii="Times New Roman" w:hAnsi="Times New Roman"/>
          <w:sz w:val="32"/>
          <w:szCs w:val="32"/>
          <w:lang w:eastAsia="zh-CN"/>
        </w:rPr>
        <w:t>要求</w:t>
      </w:r>
      <w:r>
        <w:rPr>
          <w:rFonts w:hint="eastAsia" w:ascii="Times New Roman" w:hAnsiTheme="minorEastAsia"/>
          <w:sz w:val="32"/>
          <w:szCs w:val="32"/>
        </w:rPr>
        <w:t>建立从原辅料入厂验收、产品生产、包装、检验、放行到销售所有环节的管理制度，规范生产行为。</w:t>
      </w:r>
    </w:p>
    <w:sectPr>
      <w:footerReference r:id="rId3" w:type="default"/>
      <w:pgSz w:w="11906" w:h="16838"/>
      <w:pgMar w:top="1984" w:right="1474" w:bottom="1644" w:left="1474" w:header="851" w:footer="992" w:gutter="0"/>
      <w:pgNumType w:fmt="decimal"/>
      <w:cols w:space="0" w:num="1"/>
      <w:rtlGutter w:val="0"/>
      <w:docGrid w:type="linesAndChars" w:linePitch="38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4"/>
                      <w:jc w:val="center"/>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true"/>
  <w:embedTrueTypeFonts/>
  <w:saveSubsetFonts/>
  <w:bordersDoNotSurroundHeader w:val="false"/>
  <w:bordersDoNotSurroundFooter w:val="false"/>
  <w:documentProtection w:enforcement="0"/>
  <w:defaultTabStop w:val="420"/>
  <w:drawingGridHorizontalSpacing w:val="140"/>
  <w:drawingGridVerticalSpacing w:val="194"/>
  <w:displayHorizontalDrawingGridEvery w:val="1"/>
  <w:displayVerticalDrawingGridEvery w:val="2"/>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BB2"/>
    <w:rsid w:val="00000D58"/>
    <w:rsid w:val="00004AA0"/>
    <w:rsid w:val="00011A16"/>
    <w:rsid w:val="000200B2"/>
    <w:rsid w:val="00020D2C"/>
    <w:rsid w:val="00021FBB"/>
    <w:rsid w:val="000235AB"/>
    <w:rsid w:val="000564AA"/>
    <w:rsid w:val="0005722C"/>
    <w:rsid w:val="00076D66"/>
    <w:rsid w:val="00083E82"/>
    <w:rsid w:val="0008771E"/>
    <w:rsid w:val="00096F8B"/>
    <w:rsid w:val="000C42BF"/>
    <w:rsid w:val="000D1651"/>
    <w:rsid w:val="000E1A5E"/>
    <w:rsid w:val="00103C18"/>
    <w:rsid w:val="00104E3A"/>
    <w:rsid w:val="00113831"/>
    <w:rsid w:val="00113969"/>
    <w:rsid w:val="00114F56"/>
    <w:rsid w:val="00137158"/>
    <w:rsid w:val="00146051"/>
    <w:rsid w:val="001542D4"/>
    <w:rsid w:val="00160D3A"/>
    <w:rsid w:val="00162BAE"/>
    <w:rsid w:val="00190970"/>
    <w:rsid w:val="00190C82"/>
    <w:rsid w:val="00191CB3"/>
    <w:rsid w:val="001A5BF1"/>
    <w:rsid w:val="001B2801"/>
    <w:rsid w:val="001B78D7"/>
    <w:rsid w:val="001C342A"/>
    <w:rsid w:val="001C50E7"/>
    <w:rsid w:val="001D172E"/>
    <w:rsid w:val="001D66C3"/>
    <w:rsid w:val="001E2B0F"/>
    <w:rsid w:val="002135E1"/>
    <w:rsid w:val="0022035D"/>
    <w:rsid w:val="0022671F"/>
    <w:rsid w:val="0024322E"/>
    <w:rsid w:val="00246EE9"/>
    <w:rsid w:val="00276428"/>
    <w:rsid w:val="00281F52"/>
    <w:rsid w:val="00293323"/>
    <w:rsid w:val="002C3AED"/>
    <w:rsid w:val="002D62B7"/>
    <w:rsid w:val="002F70C8"/>
    <w:rsid w:val="003145E3"/>
    <w:rsid w:val="0034115A"/>
    <w:rsid w:val="00351B6A"/>
    <w:rsid w:val="00357A48"/>
    <w:rsid w:val="003724CC"/>
    <w:rsid w:val="00373AAA"/>
    <w:rsid w:val="0039235D"/>
    <w:rsid w:val="003B78FC"/>
    <w:rsid w:val="003C29B3"/>
    <w:rsid w:val="003D1473"/>
    <w:rsid w:val="003E2014"/>
    <w:rsid w:val="003E2553"/>
    <w:rsid w:val="003E43B4"/>
    <w:rsid w:val="004127C7"/>
    <w:rsid w:val="00414F1C"/>
    <w:rsid w:val="004162DF"/>
    <w:rsid w:val="00423BBE"/>
    <w:rsid w:val="0043659A"/>
    <w:rsid w:val="00443715"/>
    <w:rsid w:val="00451AF2"/>
    <w:rsid w:val="00452D4D"/>
    <w:rsid w:val="00454544"/>
    <w:rsid w:val="004602E4"/>
    <w:rsid w:val="00461593"/>
    <w:rsid w:val="004638A1"/>
    <w:rsid w:val="004752DA"/>
    <w:rsid w:val="00477286"/>
    <w:rsid w:val="004D1107"/>
    <w:rsid w:val="004E255C"/>
    <w:rsid w:val="00501E60"/>
    <w:rsid w:val="0050516D"/>
    <w:rsid w:val="00516C48"/>
    <w:rsid w:val="00517A42"/>
    <w:rsid w:val="005223C2"/>
    <w:rsid w:val="00522757"/>
    <w:rsid w:val="00524571"/>
    <w:rsid w:val="0054746C"/>
    <w:rsid w:val="00556B42"/>
    <w:rsid w:val="0056395E"/>
    <w:rsid w:val="00572179"/>
    <w:rsid w:val="00581527"/>
    <w:rsid w:val="00582F53"/>
    <w:rsid w:val="00586CBC"/>
    <w:rsid w:val="005B0157"/>
    <w:rsid w:val="005B70F0"/>
    <w:rsid w:val="005E3F40"/>
    <w:rsid w:val="005F1723"/>
    <w:rsid w:val="00602AC6"/>
    <w:rsid w:val="006120F7"/>
    <w:rsid w:val="006167B5"/>
    <w:rsid w:val="006173CC"/>
    <w:rsid w:val="006406D9"/>
    <w:rsid w:val="00640A09"/>
    <w:rsid w:val="00641045"/>
    <w:rsid w:val="00650FDC"/>
    <w:rsid w:val="00657C43"/>
    <w:rsid w:val="006610AD"/>
    <w:rsid w:val="00667737"/>
    <w:rsid w:val="00680095"/>
    <w:rsid w:val="00681496"/>
    <w:rsid w:val="00690B60"/>
    <w:rsid w:val="006912D7"/>
    <w:rsid w:val="006A2DC5"/>
    <w:rsid w:val="006A5272"/>
    <w:rsid w:val="006B46A8"/>
    <w:rsid w:val="006B6494"/>
    <w:rsid w:val="006D0C88"/>
    <w:rsid w:val="006E1481"/>
    <w:rsid w:val="006E3A4B"/>
    <w:rsid w:val="006F34B0"/>
    <w:rsid w:val="006F6CF7"/>
    <w:rsid w:val="00747BC9"/>
    <w:rsid w:val="00755256"/>
    <w:rsid w:val="007869EB"/>
    <w:rsid w:val="007A04DC"/>
    <w:rsid w:val="007A3DFF"/>
    <w:rsid w:val="007A5709"/>
    <w:rsid w:val="007A6C6D"/>
    <w:rsid w:val="007B4A2D"/>
    <w:rsid w:val="007C009F"/>
    <w:rsid w:val="007C4BD5"/>
    <w:rsid w:val="007F5F8D"/>
    <w:rsid w:val="00802A94"/>
    <w:rsid w:val="008043EA"/>
    <w:rsid w:val="008206C2"/>
    <w:rsid w:val="008338E4"/>
    <w:rsid w:val="00850760"/>
    <w:rsid w:val="00855F51"/>
    <w:rsid w:val="00857A1A"/>
    <w:rsid w:val="00861BFC"/>
    <w:rsid w:val="00861C93"/>
    <w:rsid w:val="0087470F"/>
    <w:rsid w:val="0088250A"/>
    <w:rsid w:val="0088314C"/>
    <w:rsid w:val="00887732"/>
    <w:rsid w:val="008934CF"/>
    <w:rsid w:val="0089359E"/>
    <w:rsid w:val="008B25D0"/>
    <w:rsid w:val="008D479A"/>
    <w:rsid w:val="008D4F05"/>
    <w:rsid w:val="008D57E1"/>
    <w:rsid w:val="008D7263"/>
    <w:rsid w:val="008D7298"/>
    <w:rsid w:val="008E3092"/>
    <w:rsid w:val="008F6414"/>
    <w:rsid w:val="00914126"/>
    <w:rsid w:val="00936FDD"/>
    <w:rsid w:val="00941762"/>
    <w:rsid w:val="00956233"/>
    <w:rsid w:val="00957050"/>
    <w:rsid w:val="009749D9"/>
    <w:rsid w:val="00980853"/>
    <w:rsid w:val="00995D9A"/>
    <w:rsid w:val="0099779A"/>
    <w:rsid w:val="009A3749"/>
    <w:rsid w:val="009C292B"/>
    <w:rsid w:val="009C2EA2"/>
    <w:rsid w:val="009F26D3"/>
    <w:rsid w:val="00A00923"/>
    <w:rsid w:val="00A06A14"/>
    <w:rsid w:val="00A11072"/>
    <w:rsid w:val="00A120AA"/>
    <w:rsid w:val="00A122C2"/>
    <w:rsid w:val="00A169CF"/>
    <w:rsid w:val="00A4206A"/>
    <w:rsid w:val="00A42EDB"/>
    <w:rsid w:val="00A477C9"/>
    <w:rsid w:val="00A60E6E"/>
    <w:rsid w:val="00A733C6"/>
    <w:rsid w:val="00A7688F"/>
    <w:rsid w:val="00A76CD6"/>
    <w:rsid w:val="00A83860"/>
    <w:rsid w:val="00AA6D80"/>
    <w:rsid w:val="00AA7E7D"/>
    <w:rsid w:val="00AD17B8"/>
    <w:rsid w:val="00AD4E09"/>
    <w:rsid w:val="00AE036B"/>
    <w:rsid w:val="00AE6967"/>
    <w:rsid w:val="00AF4367"/>
    <w:rsid w:val="00AF5210"/>
    <w:rsid w:val="00B21313"/>
    <w:rsid w:val="00B23E9D"/>
    <w:rsid w:val="00B25F9B"/>
    <w:rsid w:val="00B3007B"/>
    <w:rsid w:val="00B3205E"/>
    <w:rsid w:val="00B4354B"/>
    <w:rsid w:val="00B45734"/>
    <w:rsid w:val="00B46B2F"/>
    <w:rsid w:val="00B46E03"/>
    <w:rsid w:val="00B60B38"/>
    <w:rsid w:val="00B63287"/>
    <w:rsid w:val="00B6548C"/>
    <w:rsid w:val="00B65F09"/>
    <w:rsid w:val="00B85500"/>
    <w:rsid w:val="00B93E8D"/>
    <w:rsid w:val="00B95988"/>
    <w:rsid w:val="00BA2999"/>
    <w:rsid w:val="00BB772B"/>
    <w:rsid w:val="00BC0A61"/>
    <w:rsid w:val="00BD3A28"/>
    <w:rsid w:val="00BE0C67"/>
    <w:rsid w:val="00BE214A"/>
    <w:rsid w:val="00BE29F4"/>
    <w:rsid w:val="00BE3518"/>
    <w:rsid w:val="00BF42EA"/>
    <w:rsid w:val="00BF65F8"/>
    <w:rsid w:val="00C10AC7"/>
    <w:rsid w:val="00C11D42"/>
    <w:rsid w:val="00C169A2"/>
    <w:rsid w:val="00C2699D"/>
    <w:rsid w:val="00C3140B"/>
    <w:rsid w:val="00C428B2"/>
    <w:rsid w:val="00C529D1"/>
    <w:rsid w:val="00C5531A"/>
    <w:rsid w:val="00C55528"/>
    <w:rsid w:val="00C777BB"/>
    <w:rsid w:val="00C92B7C"/>
    <w:rsid w:val="00CA4F68"/>
    <w:rsid w:val="00CD3438"/>
    <w:rsid w:val="00CE0A39"/>
    <w:rsid w:val="00CF4FE6"/>
    <w:rsid w:val="00D03DED"/>
    <w:rsid w:val="00D1539F"/>
    <w:rsid w:val="00D16E05"/>
    <w:rsid w:val="00D22540"/>
    <w:rsid w:val="00D2518D"/>
    <w:rsid w:val="00D3463E"/>
    <w:rsid w:val="00D424A0"/>
    <w:rsid w:val="00D44BFA"/>
    <w:rsid w:val="00D44D8E"/>
    <w:rsid w:val="00D47B6F"/>
    <w:rsid w:val="00D51D43"/>
    <w:rsid w:val="00D6468B"/>
    <w:rsid w:val="00D75251"/>
    <w:rsid w:val="00D82A07"/>
    <w:rsid w:val="00D82D4C"/>
    <w:rsid w:val="00D92E14"/>
    <w:rsid w:val="00D956F5"/>
    <w:rsid w:val="00D95CD8"/>
    <w:rsid w:val="00DB33A8"/>
    <w:rsid w:val="00DB68D5"/>
    <w:rsid w:val="00DE03E5"/>
    <w:rsid w:val="00DE3766"/>
    <w:rsid w:val="00DF447C"/>
    <w:rsid w:val="00E044C4"/>
    <w:rsid w:val="00E17D27"/>
    <w:rsid w:val="00E21669"/>
    <w:rsid w:val="00E275BF"/>
    <w:rsid w:val="00E300C0"/>
    <w:rsid w:val="00E31243"/>
    <w:rsid w:val="00E32DFA"/>
    <w:rsid w:val="00E37C38"/>
    <w:rsid w:val="00E41459"/>
    <w:rsid w:val="00E51CE4"/>
    <w:rsid w:val="00E65AE9"/>
    <w:rsid w:val="00E65B48"/>
    <w:rsid w:val="00E74FAB"/>
    <w:rsid w:val="00E75F82"/>
    <w:rsid w:val="00E80B90"/>
    <w:rsid w:val="00E81505"/>
    <w:rsid w:val="00E85A8E"/>
    <w:rsid w:val="00E95D6C"/>
    <w:rsid w:val="00EA4D35"/>
    <w:rsid w:val="00EC002D"/>
    <w:rsid w:val="00EE0864"/>
    <w:rsid w:val="00EF18C9"/>
    <w:rsid w:val="00EF2832"/>
    <w:rsid w:val="00F12964"/>
    <w:rsid w:val="00F14345"/>
    <w:rsid w:val="00F14FE7"/>
    <w:rsid w:val="00F23C0E"/>
    <w:rsid w:val="00F26BDE"/>
    <w:rsid w:val="00F32CC4"/>
    <w:rsid w:val="00F340B9"/>
    <w:rsid w:val="00F3672F"/>
    <w:rsid w:val="00F42781"/>
    <w:rsid w:val="00F428F6"/>
    <w:rsid w:val="00F42BBA"/>
    <w:rsid w:val="00F6507F"/>
    <w:rsid w:val="00F748CA"/>
    <w:rsid w:val="00F76BB2"/>
    <w:rsid w:val="00F8723E"/>
    <w:rsid w:val="00F911EA"/>
    <w:rsid w:val="00FB0DCC"/>
    <w:rsid w:val="00FB1B73"/>
    <w:rsid w:val="00FB6DCF"/>
    <w:rsid w:val="00FE04AB"/>
    <w:rsid w:val="00FF0003"/>
    <w:rsid w:val="00FF18C2"/>
    <w:rsid w:val="00FF3F7A"/>
    <w:rsid w:val="00FF53C0"/>
    <w:rsid w:val="00FF614A"/>
    <w:rsid w:val="01CB4CDD"/>
    <w:rsid w:val="03AE6774"/>
    <w:rsid w:val="173739A8"/>
    <w:rsid w:val="1B2F6BA7"/>
    <w:rsid w:val="1EBF8E16"/>
    <w:rsid w:val="23EC63F6"/>
    <w:rsid w:val="25D81E97"/>
    <w:rsid w:val="2B1436A2"/>
    <w:rsid w:val="3EAC294F"/>
    <w:rsid w:val="3FBA2120"/>
    <w:rsid w:val="3FDED142"/>
    <w:rsid w:val="3FFB4910"/>
    <w:rsid w:val="4EF2BE59"/>
    <w:rsid w:val="50775DB0"/>
    <w:rsid w:val="595C281E"/>
    <w:rsid w:val="5D3A4FFF"/>
    <w:rsid w:val="5FBF4FD3"/>
    <w:rsid w:val="5FEAF416"/>
    <w:rsid w:val="65BF795D"/>
    <w:rsid w:val="698A2836"/>
    <w:rsid w:val="6BBF5D6D"/>
    <w:rsid w:val="6FF808C9"/>
    <w:rsid w:val="6FFF4CF3"/>
    <w:rsid w:val="763FA583"/>
    <w:rsid w:val="76FEDADB"/>
    <w:rsid w:val="77CF189A"/>
    <w:rsid w:val="7ECF0E7A"/>
    <w:rsid w:val="7EDE4209"/>
    <w:rsid w:val="7EE9440B"/>
    <w:rsid w:val="7F4BC846"/>
    <w:rsid w:val="7FF17CC1"/>
    <w:rsid w:val="7FFF3533"/>
    <w:rsid w:val="9BFBF391"/>
    <w:rsid w:val="AFF32B86"/>
    <w:rsid w:val="B86DDDEC"/>
    <w:rsid w:val="CF7DEB0A"/>
    <w:rsid w:val="D8F169C8"/>
    <w:rsid w:val="D9FFE559"/>
    <w:rsid w:val="DEEE26CB"/>
    <w:rsid w:val="F7F3BC81"/>
    <w:rsid w:val="F7FFF456"/>
    <w:rsid w:val="FB9A0E65"/>
    <w:rsid w:val="FBA75C25"/>
    <w:rsid w:val="FBFDA18B"/>
    <w:rsid w:val="FD7F196E"/>
    <w:rsid w:val="FDBF69AB"/>
    <w:rsid w:val="FDFBE6B8"/>
    <w:rsid w:val="FE355FE4"/>
    <w:rsid w:val="FE5A22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宋体" w:eastAsia="仿宋_GB2312" w:cs="宋体"/>
      <w:snapToGrid w:val="0"/>
      <w:color w:val="000000"/>
      <w:sz w:val="28"/>
      <w:szCs w:val="28"/>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6"/>
    <w:semiHidden/>
    <w:unhideWhenUsed/>
    <w:qFormat/>
    <w:uiPriority w:val="99"/>
    <w:pPr>
      <w:ind w:left="100" w:leftChars="2500"/>
    </w:pPr>
  </w:style>
  <w:style w:type="paragraph" w:styleId="3">
    <w:name w:val="Balloon Text"/>
    <w:basedOn w:val="1"/>
    <w:link w:val="13"/>
    <w:semiHidden/>
    <w:unhideWhenUsed/>
    <w:qFormat/>
    <w:uiPriority w:val="99"/>
    <w:rPr>
      <w:sz w:val="18"/>
      <w:szCs w:val="18"/>
    </w:rPr>
  </w:style>
  <w:style w:type="paragraph" w:styleId="4">
    <w:name w:val="footer"/>
    <w:basedOn w:val="1"/>
    <w:link w:val="12"/>
    <w:semiHidden/>
    <w:unhideWhenUsed/>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eastAsia="宋体"/>
      <w:snapToGrid/>
      <w:color w:val="auto"/>
      <w:sz w:val="24"/>
      <w:szCs w:val="24"/>
    </w:rPr>
  </w:style>
  <w:style w:type="character" w:styleId="9">
    <w:name w:val="Strong"/>
    <w:basedOn w:val="8"/>
    <w:qFormat/>
    <w:uiPriority w:val="22"/>
    <w:rPr>
      <w:b/>
      <w:bCs/>
    </w:rPr>
  </w:style>
  <w:style w:type="character" w:styleId="10">
    <w:name w:val="Emphasis"/>
    <w:basedOn w:val="8"/>
    <w:qFormat/>
    <w:uiPriority w:val="20"/>
    <w:rPr>
      <w:i/>
    </w:rPr>
  </w:style>
  <w:style w:type="character" w:customStyle="1" w:styleId="11">
    <w:name w:val="页眉 Char"/>
    <w:basedOn w:val="8"/>
    <w:link w:val="5"/>
    <w:semiHidden/>
    <w:qFormat/>
    <w:uiPriority w:val="99"/>
    <w:rPr>
      <w:sz w:val="18"/>
      <w:szCs w:val="18"/>
    </w:rPr>
  </w:style>
  <w:style w:type="character" w:customStyle="1" w:styleId="12">
    <w:name w:val="页脚 Char"/>
    <w:basedOn w:val="8"/>
    <w:link w:val="4"/>
    <w:semiHidden/>
    <w:qFormat/>
    <w:uiPriority w:val="99"/>
    <w:rPr>
      <w:sz w:val="18"/>
      <w:szCs w:val="18"/>
    </w:rPr>
  </w:style>
  <w:style w:type="character" w:customStyle="1" w:styleId="13">
    <w:name w:val="批注框文本 Char"/>
    <w:basedOn w:val="8"/>
    <w:link w:val="3"/>
    <w:semiHidden/>
    <w:qFormat/>
    <w:uiPriority w:val="99"/>
    <w:rPr>
      <w:sz w:val="18"/>
      <w:szCs w:val="18"/>
    </w:rPr>
  </w:style>
  <w:style w:type="paragraph" w:styleId="14">
    <w:name w:val="List Paragraph"/>
    <w:basedOn w:val="1"/>
    <w:unhideWhenUsed/>
    <w:qFormat/>
    <w:uiPriority w:val="34"/>
    <w:pPr>
      <w:spacing w:line="140" w:lineRule="atLeast"/>
      <w:ind w:firstLine="420" w:firstLineChars="200"/>
    </w:pPr>
    <w:rPr>
      <w:rFonts w:asciiTheme="minorHAnsi" w:hAnsiTheme="minorHAnsi" w:eastAsiaTheme="minorEastAsia" w:cstheme="minorBidi"/>
      <w:snapToGrid/>
      <w:color w:val="auto"/>
      <w:kern w:val="2"/>
      <w:sz w:val="21"/>
      <w:szCs w:val="22"/>
    </w:rPr>
  </w:style>
  <w:style w:type="paragraph" w:customStyle="1" w:styleId="15">
    <w:name w:val="Char Char1 Char Char Char Char Char Char"/>
    <w:basedOn w:val="1"/>
    <w:qFormat/>
    <w:uiPriority w:val="0"/>
    <w:pPr>
      <w:widowControl/>
      <w:spacing w:after="160" w:line="240" w:lineRule="exact"/>
      <w:jc w:val="left"/>
    </w:pPr>
    <w:rPr>
      <w:rFonts w:ascii="Times New Roman" w:hAnsi="Times New Roman" w:eastAsia="宋体" w:cs="Times New Roman"/>
      <w:snapToGrid/>
      <w:color w:val="auto"/>
      <w:kern w:val="2"/>
      <w:sz w:val="21"/>
      <w:szCs w:val="24"/>
    </w:rPr>
  </w:style>
  <w:style w:type="character" w:customStyle="1" w:styleId="16">
    <w:name w:val="日期 Char"/>
    <w:basedOn w:val="8"/>
    <w:link w:val="2"/>
    <w:semiHidden/>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6036</Words>
  <Characters>6240</Characters>
  <Lines>64</Lines>
  <Paragraphs>18</Paragraphs>
  <TotalTime>14</TotalTime>
  <ScaleCrop>false</ScaleCrop>
  <LinksUpToDate>false</LinksUpToDate>
  <CharactersWithSpaces>6348</CharactersWithSpaces>
  <Application>WPS Office_11.8.2.10552_F1E327BC-269C-435d-A152-05C5408002CA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2020-08-09T09:55:00Z</dcterms:created>
  <dc:creator>lenovo</dc:creator>
  <cp:lastModifiedBy>李伟岩</cp:lastModifiedBy>
  <dcterms:modified xsi:type="dcterms:W3CDTF">2026-01-05T14:51:33Z</dcterms:modified>
  <dc:title>附件2</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2052-11.8.2.10552</vt:lpwstr>
  </property>
  <property fmtid="{D5CDD505-2E9C-101B-9397-08002B2CF9AE}" pid="3" name="ICV">
    <vt:lpwstr>4E7060156D7FF38053975469D17149F8</vt:lpwstr>
  </property>
  <property fmtid="{D5CDD505-2E9C-101B-9397-08002B2CF9AE}" pid="4" name="KSOTemplateDocerSaveRecord">
    <vt:lpwstr>eyJoZGlkIjoiODc0YzZlZmVlMDllN2IzZWI3NjNkZTA5ZWRjNzg5ZmYiLCJ1c2VySWQiOiI1NzUxMDYxOTMifQ==</vt:lpwstr>
  </property>
</Properties>
</file>